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17DB" w:rsidRDefault="00FE5937">
      <w:pPr>
        <w:pStyle w:val="12"/>
        <w:tabs>
          <w:tab w:val="clear" w:pos="4153"/>
          <w:tab w:val="clear" w:pos="8306"/>
        </w:tabs>
        <w:ind w:right="140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pict>
          <v:shape id="_x0000_i0" o:spid="_x0000_i1025" type="#_x0000_t75" style="width:43pt;height:50.9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F517DB" w:rsidRDefault="00F517DB">
      <w:pPr>
        <w:pStyle w:val="12"/>
        <w:tabs>
          <w:tab w:val="clear" w:pos="4153"/>
          <w:tab w:val="clear" w:pos="8306"/>
        </w:tabs>
        <w:ind w:right="140"/>
        <w:jc w:val="center"/>
      </w:pPr>
    </w:p>
    <w:p w:rsidR="00F517DB" w:rsidRDefault="00750ED0">
      <w:pPr>
        <w:pStyle w:val="32"/>
      </w:pPr>
      <w:r>
        <w:t>ДЕПАРТАМЕНТ ИМУЩЕСТВА</w:t>
      </w:r>
    </w:p>
    <w:p w:rsidR="00F517DB" w:rsidRDefault="00750ED0">
      <w:pPr>
        <w:pStyle w:val="BodyTextIndented"/>
        <w:rPr>
          <w:sz w:val="28"/>
          <w:szCs w:val="28"/>
        </w:rPr>
      </w:pPr>
      <w:r>
        <w:rPr>
          <w:sz w:val="28"/>
          <w:szCs w:val="28"/>
        </w:rPr>
        <w:t xml:space="preserve"> И ЗЕМЕЛЬНЫХ ОТНОШЕНИЙ НОВОСИБИРСКОЙ ОБЛАСТИ</w:t>
      </w:r>
    </w:p>
    <w:p w:rsidR="00F517DB" w:rsidRDefault="00F517DB">
      <w:pPr>
        <w:ind w:right="140"/>
        <w:jc w:val="center"/>
        <w:rPr>
          <w:b/>
          <w:szCs w:val="28"/>
        </w:rPr>
      </w:pPr>
    </w:p>
    <w:p w:rsidR="00F517DB" w:rsidRDefault="00750ED0">
      <w:pPr>
        <w:ind w:firstLine="709"/>
        <w:jc w:val="center"/>
        <w:rPr>
          <w:b/>
          <w:sz w:val="27"/>
          <w:szCs w:val="27"/>
        </w:rPr>
      </w:pPr>
      <w:r>
        <w:rPr>
          <w:b/>
          <w:sz w:val="27"/>
          <w:szCs w:val="27"/>
        </w:rPr>
        <w:t>ПОЯСНИТЕЛЬНАЯ ЗАПИСКА</w:t>
      </w:r>
    </w:p>
    <w:p w:rsidR="00F517DB" w:rsidRDefault="00750ED0">
      <w:pPr>
        <w:ind w:firstLine="709"/>
        <w:jc w:val="center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t>к проекту закона Новосибирской области</w:t>
      </w:r>
    </w:p>
    <w:p w:rsidR="00F517DB" w:rsidRDefault="00750ED0">
      <w:pPr>
        <w:ind w:firstLine="709"/>
        <w:jc w:val="center"/>
        <w:rPr>
          <w:b/>
          <w:spacing w:val="-2"/>
          <w:sz w:val="27"/>
          <w:szCs w:val="27"/>
        </w:rPr>
      </w:pPr>
      <w:r>
        <w:rPr>
          <w:b/>
          <w:sz w:val="27"/>
          <w:szCs w:val="27"/>
        </w:rPr>
        <w:t>«</w:t>
      </w:r>
      <w:r>
        <w:rPr>
          <w:b/>
          <w:spacing w:val="-2"/>
          <w:sz w:val="27"/>
          <w:szCs w:val="27"/>
        </w:rPr>
        <w:t>О внесении изменений в Закон Новосибирской области «Об управлении и распоряжении государственной собственностью Новосибирской области»</w:t>
      </w:r>
    </w:p>
    <w:p w:rsidR="00F517DB" w:rsidRDefault="00F517DB">
      <w:pPr>
        <w:widowControl w:val="0"/>
        <w:ind w:firstLine="709"/>
        <w:jc w:val="center"/>
        <w:rPr>
          <w:spacing w:val="-2"/>
          <w:sz w:val="27"/>
          <w:szCs w:val="27"/>
        </w:rPr>
      </w:pPr>
    </w:p>
    <w:p w:rsidR="00F517DB" w:rsidRDefault="00750ED0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Проект закона «О </w:t>
      </w:r>
      <w:r>
        <w:rPr>
          <w:spacing w:val="-2"/>
          <w:sz w:val="27"/>
          <w:szCs w:val="27"/>
        </w:rPr>
        <w:t>внесении изменений в Закон Новосибирской области «Об управлении и распоряжении государственной собственностью Новосибирской области»</w:t>
      </w:r>
      <w:r>
        <w:rPr>
          <w:sz w:val="27"/>
          <w:szCs w:val="27"/>
        </w:rPr>
        <w:t xml:space="preserve"> (далее – проект закона) разработан в целях:</w:t>
      </w:r>
    </w:p>
    <w:p w:rsidR="00F517DB" w:rsidRDefault="00750ED0">
      <w:pPr>
        <w:ind w:firstLine="709"/>
        <w:jc w:val="both"/>
        <w:rPr>
          <w:rFonts w:eastAsiaTheme="minorHAnsi"/>
          <w:color w:val="000000"/>
          <w:sz w:val="27"/>
          <w:szCs w:val="27"/>
        </w:rPr>
      </w:pPr>
      <w:r>
        <w:rPr>
          <w:sz w:val="27"/>
          <w:szCs w:val="27"/>
        </w:rPr>
        <w:t xml:space="preserve">наделения Правительства Новосибирской области полномочиями по установлению порядка отчуждения древесины, </w:t>
      </w:r>
      <w:r>
        <w:rPr>
          <w:color w:val="000000"/>
          <w:sz w:val="27"/>
          <w:szCs w:val="27"/>
          <w:highlight w:val="white"/>
        </w:rPr>
        <w:t>полученной из срубленных, спиленных, срезанных стволов деревьев, произрастающих на земельных участках (их частях) или землях, находящихся в государственной собственности</w:t>
      </w:r>
      <w:r>
        <w:rPr>
          <w:color w:val="000000"/>
          <w:sz w:val="27"/>
          <w:szCs w:val="27"/>
        </w:rPr>
        <w:t xml:space="preserve"> Новосибирской области;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наделения </w:t>
      </w:r>
      <w:bookmarkStart w:id="0" w:name="OLE_LINK2"/>
      <w:bookmarkStart w:id="1" w:name="OLE_LINK1"/>
      <w:bookmarkEnd w:id="0"/>
      <w:bookmarkEnd w:id="1"/>
      <w:r>
        <w:rPr>
          <w:sz w:val="27"/>
          <w:szCs w:val="27"/>
        </w:rPr>
        <w:t>полномочиями по государственному учету жилищного фонда Новосибирской области государственной жилищной инспекции Новосибирской области и департамента имущества и земельных отношений Новосибирской области.</w:t>
      </w:r>
    </w:p>
    <w:p w:rsidR="00F517DB" w:rsidRDefault="00750ED0">
      <w:pPr>
        <w:ind w:firstLine="709"/>
        <w:jc w:val="both"/>
        <w:rPr>
          <w:rFonts w:eastAsiaTheme="minorHAnsi"/>
          <w:sz w:val="27"/>
          <w:szCs w:val="27"/>
        </w:rPr>
      </w:pPr>
      <w:r>
        <w:rPr>
          <w:sz w:val="27"/>
          <w:szCs w:val="27"/>
        </w:rPr>
        <w:t>1.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Федеральным законом от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20.03.2025 №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35-ФЗ «О внесении изменений в отдельные законодательные акты Российской Федерации» внесены изменения в Федеральный закон от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21.12.2001 №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178-ФЗ «О приватизации государственного и муниципального имущества» (далее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–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Федеральный закон № 178-ФЗ).</w:t>
      </w:r>
    </w:p>
    <w:p w:rsidR="00F517DB" w:rsidRDefault="00750ED0">
      <w:pPr>
        <w:ind w:firstLine="709"/>
        <w:jc w:val="both"/>
        <w:rPr>
          <w:rFonts w:eastAsiaTheme="minorHAnsi"/>
          <w:sz w:val="27"/>
          <w:szCs w:val="27"/>
          <w:highlight w:val="white"/>
        </w:rPr>
      </w:pPr>
      <w:proofErr w:type="gramStart"/>
      <w:r>
        <w:rPr>
          <w:sz w:val="27"/>
          <w:szCs w:val="27"/>
        </w:rPr>
        <w:t>В соответствии с изменениями, вступающими в силу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21.03.2026, из сферы действия Федерального закона №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>178-ФЗ исключаются отношения по отчуждению древесины, полученной из срубленных, спиленных, срезанных стволов деревьев, произрастающих на земельных участках (их частях) или землях, находящихся в государственной или муниципальной собственности, а также предусматривается принятие нормативного правового акта субъекта Российской Федерации по утверждению порядка отчуждения древесины, полученной из срубленных, спиленных, срезанных</w:t>
      </w:r>
      <w:proofErr w:type="gramEnd"/>
      <w:r>
        <w:rPr>
          <w:sz w:val="27"/>
          <w:szCs w:val="27"/>
        </w:rPr>
        <w:t xml:space="preserve"> </w:t>
      </w:r>
      <w:proofErr w:type="gramStart"/>
      <w:r>
        <w:rPr>
          <w:sz w:val="27"/>
          <w:szCs w:val="27"/>
        </w:rPr>
        <w:t>стволов деревьев, произрастающих на земельных участках (их частях) или землях, находящихся в государственной собственности, за исключением древесины, которая получена в результате использования лесов и осуществления мероприятий по сохранению лесов, порядок отчуждения которой урегулирован в соответствии с лесным законодательством.</w:t>
      </w:r>
      <w:proofErr w:type="gramEnd"/>
    </w:p>
    <w:p w:rsidR="00F517DB" w:rsidRDefault="00750ED0">
      <w:pPr>
        <w:ind w:firstLine="709"/>
        <w:jc w:val="both"/>
        <w:rPr>
          <w:rFonts w:eastAsiaTheme="minorHAnsi"/>
          <w:sz w:val="27"/>
          <w:szCs w:val="27"/>
        </w:rPr>
      </w:pPr>
      <w:r>
        <w:rPr>
          <w:sz w:val="27"/>
          <w:szCs w:val="27"/>
        </w:rPr>
        <w:t xml:space="preserve">В </w:t>
      </w:r>
      <w:proofErr w:type="gramStart"/>
      <w:r>
        <w:rPr>
          <w:sz w:val="27"/>
          <w:szCs w:val="27"/>
        </w:rPr>
        <w:t>связи</w:t>
      </w:r>
      <w:proofErr w:type="gramEnd"/>
      <w:r>
        <w:rPr>
          <w:sz w:val="27"/>
          <w:szCs w:val="27"/>
        </w:rPr>
        <w:t xml:space="preserve"> с чем вносится изменение в статью</w:t>
      </w:r>
      <w:r>
        <w:rPr>
          <w:sz w:val="27"/>
          <w:szCs w:val="27"/>
          <w:lang w:val="en-US"/>
        </w:rPr>
        <w:t> </w:t>
      </w:r>
      <w:r>
        <w:rPr>
          <w:sz w:val="27"/>
          <w:szCs w:val="27"/>
        </w:rPr>
        <w:t xml:space="preserve">6 </w:t>
      </w:r>
      <w:r>
        <w:rPr>
          <w:spacing w:val="-2"/>
          <w:sz w:val="27"/>
          <w:szCs w:val="27"/>
        </w:rPr>
        <w:t>Закона Новосибирской области от 06.07.2018 № 271-ОЗ «Об управлении и распоряжении государственной собственностью Новосибирской области» (далее – Закон Новосибирской области № 271-ОЗ), согласно которому</w:t>
      </w:r>
      <w:r>
        <w:rPr>
          <w:sz w:val="27"/>
          <w:szCs w:val="27"/>
        </w:rPr>
        <w:t xml:space="preserve"> Правительство Новосибирской области наделяется полномочием по установлению порядка отчуждения древесины, полученной из срубленных, спиленных, срезанных стволов деревьев, произрастающих на земельных </w:t>
      </w:r>
      <w:r>
        <w:rPr>
          <w:sz w:val="27"/>
          <w:szCs w:val="27"/>
        </w:rPr>
        <w:lastRenderedPageBreak/>
        <w:t>участках (их частях) или землях, находящихся в государственной собственности Новосибирской области.</w:t>
      </w:r>
    </w:p>
    <w:bookmarkStart w:id="2" w:name="_GoBack"/>
    <w:bookmarkEnd w:id="2"/>
    <w:p w:rsidR="00F517DB" w:rsidRDefault="00FE5937">
      <w:pPr>
        <w:pStyle w:val="aff6"/>
        <w:spacing w:before="0" w:beforeAutospacing="0" w:after="0" w:afterAutospacing="0"/>
        <w:ind w:firstLine="709"/>
        <w:jc w:val="both"/>
        <w:rPr>
          <w:bCs/>
          <w:i/>
          <w:spacing w:val="-2"/>
          <w:sz w:val="27"/>
          <w:szCs w:val="27"/>
        </w:rPr>
      </w:pPr>
      <w:r w:rsidRPr="00FE5937">
        <w:rPr>
          <w:sz w:val="27"/>
          <w:szCs w:val="27"/>
        </w:rPr>
        <w:fldChar w:fldCharType="begin"/>
      </w:r>
      <w:r w:rsidR="00750ED0">
        <w:rPr>
          <w:sz w:val="27"/>
          <w:szCs w:val="27"/>
        </w:rPr>
        <w:instrText xml:space="preserve"> HYPERLINK "https://login.consultant.ru/link/?req=doc&amp;base=LAW&amp;n=508289&amp;dst=100218" \o "https://login.consultant.ru/link/?req=doc&amp;base=LAW&amp;n=508289&amp;dst=100218" </w:instrText>
      </w:r>
      <w:r w:rsidRPr="00FE5937">
        <w:rPr>
          <w:sz w:val="27"/>
          <w:szCs w:val="27"/>
        </w:rPr>
        <w:fldChar w:fldCharType="separate"/>
      </w:r>
      <w:r w:rsidR="00750ED0">
        <w:rPr>
          <w:rFonts w:eastAsia="TimesNewRoman"/>
          <w:sz w:val="27"/>
          <w:szCs w:val="27"/>
        </w:rPr>
        <w:t>2. </w:t>
      </w:r>
      <w:proofErr w:type="gramStart"/>
      <w:r w:rsidR="00750ED0">
        <w:rPr>
          <w:rFonts w:eastAsia="TimesNewRoman"/>
          <w:sz w:val="27"/>
          <w:szCs w:val="27"/>
        </w:rPr>
        <w:t>Подпунктом</w:t>
      </w:r>
      <w:r w:rsidR="00750ED0">
        <w:rPr>
          <w:rFonts w:eastAsia="TimesNewRoman"/>
          <w:sz w:val="27"/>
          <w:szCs w:val="27"/>
          <w:lang w:val="en-US"/>
        </w:rPr>
        <w:t> </w:t>
      </w:r>
      <w:r w:rsidR="00750ED0">
        <w:rPr>
          <w:rFonts w:eastAsia="TimesNewRoman"/>
          <w:sz w:val="27"/>
          <w:szCs w:val="27"/>
        </w:rPr>
        <w:t>«и» пункта</w:t>
      </w:r>
      <w:r w:rsidR="00750ED0">
        <w:rPr>
          <w:rFonts w:eastAsia="TimesNewRoman"/>
          <w:sz w:val="27"/>
          <w:szCs w:val="27"/>
          <w:lang w:val="en-US"/>
        </w:rPr>
        <w:t> </w:t>
      </w:r>
      <w:r w:rsidR="00750ED0">
        <w:rPr>
          <w:rFonts w:eastAsia="TimesNewRoman"/>
          <w:sz w:val="27"/>
          <w:szCs w:val="27"/>
        </w:rPr>
        <w:t>1 статьи</w:t>
      </w:r>
      <w:r w:rsidR="00750ED0">
        <w:rPr>
          <w:rFonts w:eastAsia="TimesNewRoman"/>
          <w:sz w:val="27"/>
          <w:szCs w:val="27"/>
          <w:lang w:val="en-US"/>
        </w:rPr>
        <w:t> </w:t>
      </w:r>
      <w:r w:rsidR="00750ED0">
        <w:rPr>
          <w:rFonts w:eastAsia="TimesNewRoman"/>
          <w:sz w:val="27"/>
          <w:szCs w:val="27"/>
        </w:rPr>
        <w:t>4</w:t>
      </w:r>
      <w:r>
        <w:rPr>
          <w:rFonts w:eastAsia="TimesNewRoman"/>
          <w:sz w:val="27"/>
          <w:szCs w:val="27"/>
        </w:rPr>
        <w:fldChar w:fldCharType="end"/>
      </w:r>
      <w:r w:rsidR="00750ED0">
        <w:rPr>
          <w:rFonts w:eastAsia="TimesNewRoman"/>
          <w:sz w:val="27"/>
          <w:szCs w:val="27"/>
        </w:rPr>
        <w:t xml:space="preserve"> </w:t>
      </w:r>
      <w:r w:rsidR="00750ED0">
        <w:rPr>
          <w:sz w:val="27"/>
          <w:szCs w:val="27"/>
        </w:rPr>
        <w:t xml:space="preserve">Федерального закона от 24.06.2025 № 158-ФЗ </w:t>
      </w:r>
      <w:r w:rsidR="00750ED0">
        <w:rPr>
          <w:rFonts w:eastAsia="TimesNewRoman"/>
          <w:sz w:val="27"/>
          <w:szCs w:val="27"/>
        </w:rPr>
        <w:t xml:space="preserve">«О внесении изменений в Бюджетный кодекс Российской Федерации и отдельные законодательные акты Российской Федерации» внесено изменение в </w:t>
      </w:r>
      <w:hyperlink r:id="rId8" w:tooltip="https://login.consultant.ru/link/?req=doc&amp;base=LAW&amp;n=508376&amp;dst=100302" w:history="1">
        <w:r w:rsidR="00750ED0">
          <w:rPr>
            <w:rFonts w:eastAsia="TimesNewRoman"/>
            <w:color w:val="000000" w:themeColor="text1"/>
            <w:sz w:val="27"/>
            <w:szCs w:val="27"/>
          </w:rPr>
          <w:t>часть 10 статьи 2</w:t>
        </w:r>
      </w:hyperlink>
      <w:r w:rsidR="00750ED0">
        <w:rPr>
          <w:rFonts w:eastAsia="TimesNewRoman"/>
          <w:color w:val="000000" w:themeColor="text1"/>
          <w:sz w:val="27"/>
          <w:szCs w:val="27"/>
        </w:rPr>
        <w:t xml:space="preserve"> </w:t>
      </w:r>
      <w:r w:rsidR="00750ED0">
        <w:rPr>
          <w:rFonts w:eastAsia="TimesNewRoman"/>
          <w:sz w:val="27"/>
          <w:szCs w:val="27"/>
        </w:rPr>
        <w:t xml:space="preserve">Федерального закона от 03.11.2006 № 174-ФЗ «Об автономных учреждениях», согласно которому обеспечение открытости и доступности информации о деятельности автономных учреждений осуществляется в порядке, установленном </w:t>
      </w:r>
      <w:hyperlink r:id="rId9" w:tooltip="https://login.consultant.ru/link/?req=doc&amp;base=LAW&amp;n=511335&amp;dst=517" w:history="1">
        <w:r w:rsidR="00750ED0">
          <w:rPr>
            <w:rFonts w:eastAsia="TimesNewRoman"/>
            <w:color w:val="000000" w:themeColor="text1"/>
            <w:sz w:val="27"/>
            <w:szCs w:val="27"/>
          </w:rPr>
          <w:t>пунктами 3.3</w:t>
        </w:r>
      </w:hyperlink>
      <w:r w:rsidR="00750ED0">
        <w:rPr>
          <w:rFonts w:eastAsia="TimesNewRoman"/>
          <w:color w:val="000000" w:themeColor="text1"/>
          <w:sz w:val="27"/>
          <w:szCs w:val="27"/>
        </w:rPr>
        <w:t>–</w:t>
      </w:r>
      <w:hyperlink r:id="rId10" w:tooltip="https://login.consultant.ru/link/?req=doc&amp;base=LAW&amp;n=511335&amp;dst=522" w:history="1">
        <w:r w:rsidR="00750ED0">
          <w:rPr>
            <w:rFonts w:eastAsia="TimesNewRoman"/>
            <w:color w:val="000000" w:themeColor="text1"/>
            <w:sz w:val="27"/>
            <w:szCs w:val="27"/>
          </w:rPr>
          <w:t>3.5 статьи 32</w:t>
        </w:r>
        <w:proofErr w:type="gramEnd"/>
      </w:hyperlink>
      <w:r w:rsidR="00750ED0">
        <w:rPr>
          <w:rFonts w:eastAsia="TimesNewRoman"/>
          <w:sz w:val="27"/>
          <w:szCs w:val="27"/>
        </w:rPr>
        <w:t xml:space="preserve"> Федерального закона от 12.01.1996 № 7-ФЗ «О некоммерческих организациях».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rFonts w:eastAsia="TimesNewRoman"/>
          <w:sz w:val="27"/>
          <w:szCs w:val="27"/>
        </w:rPr>
        <w:t xml:space="preserve">На основании вышеуказанного изменения принято </w:t>
      </w:r>
      <w:hyperlink r:id="rId11" w:tooltip="https://login.consultant.ru/link/?req=doc&amp;base=LAW&amp;n=513435" w:history="1">
        <w:r>
          <w:rPr>
            <w:rFonts w:eastAsia="TimesNewRoman"/>
            <w:color w:val="000000" w:themeColor="text1"/>
            <w:sz w:val="27"/>
            <w:szCs w:val="27"/>
          </w:rPr>
          <w:t>постановление</w:t>
        </w:r>
      </w:hyperlink>
      <w:r>
        <w:rPr>
          <w:rFonts w:eastAsia="TimesNewRoman"/>
          <w:color w:val="000000" w:themeColor="text1"/>
          <w:sz w:val="27"/>
          <w:szCs w:val="27"/>
        </w:rPr>
        <w:t xml:space="preserve"> </w:t>
      </w:r>
      <w:r>
        <w:rPr>
          <w:rFonts w:eastAsia="TimesNewRoman"/>
          <w:sz w:val="27"/>
          <w:szCs w:val="27"/>
        </w:rPr>
        <w:t xml:space="preserve">Правительства Российской Федерации от 29.08.2025 № 1321 «О признании утратившими силу некоторых актов Правительства Российской Федерации», признающее утратившим силу </w:t>
      </w:r>
      <w:hyperlink r:id="rId12" w:tooltip="https://login.consultant.ru/link/?req=doc&amp;base=LAW&amp;n=454617" w:history="1">
        <w:r>
          <w:rPr>
            <w:rFonts w:eastAsia="TimesNewRoman"/>
            <w:color w:val="000000" w:themeColor="text1"/>
            <w:sz w:val="27"/>
            <w:szCs w:val="27"/>
          </w:rPr>
          <w:t>постановление</w:t>
        </w:r>
      </w:hyperlink>
      <w:r>
        <w:rPr>
          <w:rFonts w:eastAsia="TimesNewRoman"/>
          <w:sz w:val="27"/>
          <w:szCs w:val="27"/>
        </w:rPr>
        <w:t xml:space="preserve"> Правительства Российской Федерации от 18.10.2007 № 684 «Об утверждении Правил опубликования отчетов о деятельности автономного учреждения и об использовании закрепленного за ним имущества». </w:t>
      </w:r>
    </w:p>
    <w:p w:rsidR="00F517DB" w:rsidRDefault="00750ED0">
      <w:pPr>
        <w:ind w:firstLine="709"/>
        <w:contextualSpacing/>
        <w:jc w:val="both"/>
        <w:rPr>
          <w:bCs/>
          <w:i/>
          <w:spacing w:val="-2"/>
          <w:sz w:val="27"/>
          <w:szCs w:val="27"/>
        </w:rPr>
      </w:pPr>
      <w:r>
        <w:rPr>
          <w:rFonts w:eastAsia="TimesNewRoman"/>
          <w:sz w:val="27"/>
          <w:szCs w:val="27"/>
        </w:rPr>
        <w:t xml:space="preserve">В </w:t>
      </w:r>
      <w:proofErr w:type="gramStart"/>
      <w:r>
        <w:rPr>
          <w:rFonts w:eastAsia="TimesNewRoman"/>
          <w:sz w:val="27"/>
          <w:szCs w:val="27"/>
        </w:rPr>
        <w:t>связи</w:t>
      </w:r>
      <w:proofErr w:type="gramEnd"/>
      <w:r>
        <w:rPr>
          <w:rFonts w:eastAsia="TimesNewRoman"/>
          <w:sz w:val="27"/>
          <w:szCs w:val="27"/>
        </w:rPr>
        <w:t xml:space="preserve"> с чем часть 3 статьи 26</w:t>
      </w:r>
      <w:r>
        <w:rPr>
          <w:spacing w:val="-2"/>
          <w:sz w:val="27"/>
          <w:szCs w:val="27"/>
        </w:rPr>
        <w:t xml:space="preserve"> Закона Новосибирской области </w:t>
      </w:r>
      <w:r>
        <w:rPr>
          <w:color w:val="000000" w:themeColor="text1"/>
          <w:sz w:val="27"/>
          <w:szCs w:val="27"/>
          <w:highlight w:val="white"/>
        </w:rPr>
        <w:t xml:space="preserve">№ 271-ОЗ </w:t>
      </w:r>
      <w:r>
        <w:rPr>
          <w:spacing w:val="-2"/>
          <w:sz w:val="27"/>
          <w:szCs w:val="27"/>
          <w:highlight w:val="white"/>
        </w:rPr>
        <w:t>утрачивает силу</w:t>
      </w:r>
      <w:r>
        <w:rPr>
          <w:spacing w:val="-2"/>
          <w:sz w:val="27"/>
          <w:szCs w:val="27"/>
        </w:rPr>
        <w:t>.</w:t>
      </w:r>
    </w:p>
    <w:p w:rsidR="00F517DB" w:rsidRDefault="00750ED0">
      <w:pPr>
        <w:ind w:firstLine="709"/>
        <w:jc w:val="both"/>
        <w:rPr>
          <w:rFonts w:eastAsiaTheme="minorHAnsi"/>
          <w:sz w:val="27"/>
          <w:szCs w:val="27"/>
        </w:rPr>
      </w:pPr>
      <w:r>
        <w:rPr>
          <w:rFonts w:eastAsiaTheme="minorHAnsi"/>
          <w:sz w:val="27"/>
          <w:szCs w:val="27"/>
        </w:rPr>
        <w:t>3. </w:t>
      </w:r>
      <w:r>
        <w:rPr>
          <w:rFonts w:eastAsiaTheme="minorHAnsi"/>
          <w:sz w:val="27"/>
          <w:szCs w:val="27"/>
          <w:lang w:eastAsia="en-US"/>
        </w:rPr>
        <w:t>Федеральным законом от 24.06.2025 № 180-ФЗ «О внесении изменений в Жилищный кодекс Российской Федерации и статьи 6 и 7 Федерального закона «О государственной информационной системе жилищно-коммунального хозяйства», вступающим в силу 01.03.2026: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proofErr w:type="gramStart"/>
      <w:r>
        <w:rPr>
          <w:sz w:val="27"/>
          <w:szCs w:val="27"/>
        </w:rPr>
        <w:t>уточнено понятие государственного учета жилищного фонда как деятельности по обработке, хранению и предоставлению информации об объектах государственного учета жилищного фонда на основе программных, технических средств и информационных технологий, предусмотренных государственной информационной системой жилищно-коммунального хозяйства (далее – ГИС ЖКХ), позволяющей индивидуализировать объекты государственного учета жилищного фонда, осуществлять мониторинг их состояния, использования и сохранности, а также в случае и порядке, которые установлены законодательством</w:t>
      </w:r>
      <w:proofErr w:type="gramEnd"/>
      <w:r>
        <w:rPr>
          <w:sz w:val="27"/>
          <w:szCs w:val="27"/>
        </w:rPr>
        <w:t xml:space="preserve"> субъектов Российской Федерации, на основе проведения технического учета жилищного фонда, в том числе его технической инвентаризации и технической </w:t>
      </w:r>
      <w:hyperlink r:id="rId13" w:tooltip="https://login.consultant.ru/link/?req=doc&amp;base=LAW&amp;n=77193&amp;dst=101358&amp;field=134&amp;date=21.01.2026" w:history="1">
        <w:r>
          <w:rPr>
            <w:rStyle w:val="afa"/>
            <w:color w:val="auto"/>
            <w:sz w:val="27"/>
            <w:szCs w:val="27"/>
            <w:u w:val="none"/>
          </w:rPr>
          <w:t>паспортизации</w:t>
        </w:r>
      </w:hyperlink>
      <w:r>
        <w:rPr>
          <w:sz w:val="27"/>
          <w:szCs w:val="27"/>
        </w:rPr>
        <w:t>;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предусмотрено обеспечение государственного учета жилищного фонда  в ГИС ЖКХ в порядке и сроки, которые установлены законодательством о государственной информационной системе жилищно-коммунального хозяйства.</w:t>
      </w:r>
      <w:r w:rsidR="00CD36E9">
        <w:rPr>
          <w:sz w:val="27"/>
          <w:szCs w:val="27"/>
        </w:rPr>
        <w:t xml:space="preserve"> </w:t>
      </w:r>
      <w:r>
        <w:rPr>
          <w:sz w:val="27"/>
          <w:szCs w:val="27"/>
        </w:rPr>
        <w:t>Осуществление государственного учета жилищного фонда обеспечивается посредством размещения в ГИС ЖКХ информации органами,  в соответствии с пунктом 2 Положения о государственном учете жилищного фонда в Российской Федерации, утвержденного постановлением Правительства РФ от 28.11.2025 № 1939 «О государственном учете жилищного фонда в Российской Федерации».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Согласно пункту 1 статьи 13 Жилищного кодекса Российской Федерации к полномочиям органов государственной власти субъекта Российской Федерации в области жилищных отношений относится государственный учет жилищного фонда субъекта Российской Федерации.</w:t>
      </w:r>
    </w:p>
    <w:p w:rsidR="00F517DB" w:rsidRDefault="00F517DB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lastRenderedPageBreak/>
        <w:t xml:space="preserve">Проектом закона </w:t>
      </w:r>
      <w:r>
        <w:rPr>
          <w:spacing w:val="-2"/>
          <w:sz w:val="27"/>
          <w:szCs w:val="27"/>
        </w:rPr>
        <w:t xml:space="preserve">предлагается </w:t>
      </w:r>
      <w:r>
        <w:rPr>
          <w:sz w:val="27"/>
          <w:szCs w:val="27"/>
        </w:rPr>
        <w:t>полномочиями по государственному учету жилищного фонда Новосибирской области наделить: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государственную жилищную инспекцию Новосибирской области (в части деятельности по обработке, хранению и предоставлению информации об объектах государственного учета жилищного фонда Новосибирской области на основе программных, технических средств и информационных технологий, предусмотренных</w:t>
      </w:r>
      <w:bookmarkStart w:id="3" w:name="OLE_LINK5"/>
      <w:bookmarkStart w:id="4" w:name="OLE_LINK6"/>
      <w:r>
        <w:rPr>
          <w:sz w:val="27"/>
          <w:szCs w:val="27"/>
        </w:rPr>
        <w:t xml:space="preserve"> </w:t>
      </w:r>
      <w:bookmarkEnd w:id="3"/>
      <w:bookmarkEnd w:id="4"/>
      <w:r>
        <w:rPr>
          <w:sz w:val="27"/>
          <w:szCs w:val="27"/>
        </w:rPr>
        <w:t>ГИС ЖКХ);</w:t>
      </w:r>
    </w:p>
    <w:p w:rsidR="00F517DB" w:rsidRDefault="00750ED0">
      <w:pPr>
        <w:pStyle w:val="aff6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департамент имущества и земельных отношений Новосибирской области (в части деятельности по обработке, хранению и предоставлению информации об объектах государственного учета жилищного фонда на основе проведения технического учета жилищного фонда, в том числе его технической инвентаризации и технической </w:t>
      </w:r>
      <w:hyperlink r:id="rId14" w:tooltip="https://login.consultant.ru/link/?req=doc&amp;base=LAW&amp;n=77193&amp;dst=101358&amp;field=134&amp;date=21.01.2026" w:history="1">
        <w:r>
          <w:rPr>
            <w:rStyle w:val="afa"/>
            <w:color w:val="auto"/>
            <w:sz w:val="27"/>
            <w:szCs w:val="27"/>
            <w:u w:val="none"/>
          </w:rPr>
          <w:t>паспортизации</w:t>
        </w:r>
      </w:hyperlink>
      <w:r>
        <w:rPr>
          <w:sz w:val="27"/>
          <w:szCs w:val="27"/>
        </w:rPr>
        <w:t>).</w:t>
      </w:r>
    </w:p>
    <w:p w:rsidR="000A63F0" w:rsidRDefault="000A63F0" w:rsidP="000A63F0">
      <w:pPr>
        <w:pStyle w:val="docdata"/>
        <w:widowControl w:val="0"/>
        <w:spacing w:before="0" w:beforeAutospacing="0" w:after="0" w:afterAutospacing="0"/>
        <w:ind w:firstLine="709"/>
        <w:jc w:val="both"/>
      </w:pPr>
      <w:proofErr w:type="gramStart"/>
      <w:r>
        <w:rPr>
          <w:color w:val="000000"/>
          <w:sz w:val="28"/>
          <w:szCs w:val="28"/>
        </w:rPr>
        <w:t>Проект закона не подлежит оценке регулирующего воздействия, предусмотренной постановлением Губернатора Новосибирской области от 17.01.2017 № 2 «О Порядке проведения оценки регулирующего воздействия проектов нормативных правовых актов Новосибирской области», в связи с тем, что не содержит положений, устанавливающих новые или изменяющих ранее предусмотренные нормативными правовыми актами обязанности для субъектов предпринимательской и инвестиционной деятельности, а также устанавливающих или изменяющих ранее установленную ответственность за</w:t>
      </w:r>
      <w:proofErr w:type="gramEnd"/>
      <w:r>
        <w:rPr>
          <w:color w:val="000000"/>
          <w:sz w:val="28"/>
          <w:szCs w:val="28"/>
        </w:rPr>
        <w:t xml:space="preserve"> нарушение нормативных правовых актов, затрагивающих вопросы осуществления предпринимательской и иной экономической деятельности.</w:t>
      </w:r>
    </w:p>
    <w:p w:rsidR="00F517DB" w:rsidRPr="000A63F0" w:rsidRDefault="00F517DB">
      <w:pPr>
        <w:ind w:firstLine="709"/>
        <w:jc w:val="both"/>
        <w:rPr>
          <w:bCs/>
          <w:sz w:val="27"/>
          <w:szCs w:val="27"/>
        </w:rPr>
      </w:pPr>
    </w:p>
    <w:p w:rsidR="00F517DB" w:rsidRPr="000A63F0" w:rsidRDefault="00F517DB">
      <w:pPr>
        <w:ind w:firstLine="709"/>
        <w:jc w:val="both"/>
        <w:rPr>
          <w:bCs/>
          <w:sz w:val="27"/>
          <w:szCs w:val="27"/>
        </w:rPr>
      </w:pPr>
    </w:p>
    <w:p w:rsidR="00F517DB" w:rsidRDefault="00F517DB">
      <w:pPr>
        <w:ind w:firstLine="709"/>
        <w:jc w:val="both"/>
        <w:rPr>
          <w:bCs/>
          <w:i/>
          <w:sz w:val="27"/>
          <w:szCs w:val="27"/>
        </w:rPr>
      </w:pPr>
    </w:p>
    <w:p w:rsidR="00F517DB" w:rsidRDefault="00750ED0">
      <w:pPr>
        <w:rPr>
          <w:sz w:val="27"/>
          <w:szCs w:val="27"/>
        </w:rPr>
      </w:pPr>
      <w:r>
        <w:rPr>
          <w:sz w:val="27"/>
          <w:szCs w:val="27"/>
        </w:rPr>
        <w:t>Руководитель департамента                                                                    Р.Г. Шилохвостов</w:t>
      </w:r>
    </w:p>
    <w:sectPr w:rsidR="00F517DB" w:rsidSect="00F517D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567" w:bottom="1162" w:left="1417" w:header="709" w:footer="709" w:gutter="0"/>
      <w:cols w:space="1701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13DC" w:rsidRDefault="007413DC">
      <w:r>
        <w:separator/>
      </w:r>
    </w:p>
  </w:endnote>
  <w:endnote w:type="continuationSeparator" w:id="0">
    <w:p w:rsidR="007413DC" w:rsidRDefault="007413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00000287" w:usb1="00000000" w:usb2="00000000" w:usb3="00000000" w:csb0="0000009F" w:csb1="00000000"/>
  </w:font>
  <w:font w:name="Droid Sans">
    <w:panose1 w:val="020B0606030804020204"/>
    <w:charset w:val="CC"/>
    <w:family w:val="swiss"/>
    <w:pitch w:val="variable"/>
    <w:sig w:usb0="E00002EF" w:usb1="4000205B" w:usb2="00000028" w:usb3="00000000" w:csb0="0000019F" w:csb1="00000000"/>
  </w:font>
  <w:font w:name="TimesNewRoman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517DB">
    <w:pPr>
      <w:pStyle w:val="1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517DB">
    <w:pPr>
      <w:pStyle w:val="1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517DB">
    <w:pPr>
      <w:pStyle w:val="1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13DC" w:rsidRDefault="007413DC">
      <w:r>
        <w:separator/>
      </w:r>
    </w:p>
  </w:footnote>
  <w:footnote w:type="continuationSeparator" w:id="0">
    <w:p w:rsidR="007413DC" w:rsidRDefault="007413D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517DB">
    <w:pPr>
      <w:pStyle w:val="12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E5937">
    <w:pPr>
      <w:pStyle w:val="12"/>
      <w:jc w:val="center"/>
      <w:rPr>
        <w:sz w:val="20"/>
        <w:szCs w:val="20"/>
      </w:rPr>
    </w:pPr>
    <w:r>
      <w:rPr>
        <w:sz w:val="20"/>
        <w:szCs w:val="20"/>
      </w:rPr>
      <w:fldChar w:fldCharType="begin"/>
    </w:r>
    <w:r w:rsidR="00750ED0"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A63F0">
      <w:rPr>
        <w:noProof/>
        <w:sz w:val="20"/>
        <w:szCs w:val="20"/>
      </w:rPr>
      <w:t>2</w:t>
    </w:r>
    <w:r>
      <w:rPr>
        <w:sz w:val="20"/>
        <w:szCs w:val="20"/>
      </w:rPr>
      <w:fldChar w:fldCharType="end"/>
    </w:r>
  </w:p>
  <w:p w:rsidR="00F517DB" w:rsidRDefault="00F517DB">
    <w:pPr>
      <w:pStyle w:val="12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7DB" w:rsidRDefault="00F517DB">
    <w:pPr>
      <w:pStyle w:val="12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trackRevisions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17DB"/>
    <w:rsid w:val="000A63F0"/>
    <w:rsid w:val="007413DC"/>
    <w:rsid w:val="00750ED0"/>
    <w:rsid w:val="00CD36E9"/>
    <w:rsid w:val="00F517DB"/>
    <w:rsid w:val="00FE59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17D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F517DB"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F517DB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F517DB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F517DB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F517DB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F517DB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F517DB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F517DB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F517DB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paragraph" w:customStyle="1" w:styleId="Header">
    <w:name w:val="Header"/>
    <w:basedOn w:val="a"/>
    <w:link w:val="HeaderChar"/>
    <w:uiPriority w:val="99"/>
    <w:unhideWhenUsed/>
    <w:rsid w:val="00F517DB"/>
    <w:pPr>
      <w:tabs>
        <w:tab w:val="center" w:pos="7143"/>
        <w:tab w:val="right" w:pos="14287"/>
      </w:tabs>
    </w:pPr>
  </w:style>
  <w:style w:type="paragraph" w:customStyle="1" w:styleId="Footer">
    <w:name w:val="Footer"/>
    <w:basedOn w:val="a"/>
    <w:link w:val="FooterChar"/>
    <w:uiPriority w:val="99"/>
    <w:unhideWhenUsed/>
    <w:rsid w:val="00F517DB"/>
    <w:pPr>
      <w:tabs>
        <w:tab w:val="center" w:pos="7143"/>
        <w:tab w:val="right" w:pos="14287"/>
      </w:tabs>
    </w:pPr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F517DB"/>
    <w:pPr>
      <w:spacing w:line="276" w:lineRule="auto"/>
    </w:pPr>
    <w:rPr>
      <w:b/>
      <w:bCs/>
      <w:color w:val="4F81BD" w:themeColor="accent1"/>
      <w:sz w:val="18"/>
      <w:szCs w:val="18"/>
    </w:rPr>
  </w:style>
  <w:style w:type="table" w:customStyle="1" w:styleId="PlainTable1">
    <w:name w:val="Plain Table 1"/>
    <w:basedOn w:val="a1"/>
    <w:uiPriority w:val="59"/>
    <w:rsid w:val="00F517DB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F517DB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2">
    <w:name w:val="Grid Table 2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">
    <w:name w:val="Grid Table 3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">
    <w:name w:val="Grid Table 4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5Dark">
    <w:name w:val="Grid Table 5 Dark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6Colorful">
    <w:name w:val="Grid Table 6 Colorful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">
    <w:name w:val="List Table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3">
    <w:name w:val="List Table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4">
    <w:name w:val="List Table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5Dark">
    <w:name w:val="List Table 5 Dark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6Colorful">
    <w:name w:val="List Table 6 Colorful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7Colorful">
    <w:name w:val="List Table 7 Colorful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paragraph" w:customStyle="1" w:styleId="11">
    <w:name w:val="Заголовок 11"/>
    <w:basedOn w:val="a"/>
    <w:next w:val="a"/>
    <w:link w:val="1"/>
    <w:uiPriority w:val="99"/>
    <w:qFormat/>
    <w:rsid w:val="00F517DB"/>
    <w:pPr>
      <w:widowControl w:val="0"/>
      <w:spacing w:before="108" w:after="108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</w:rPr>
  </w:style>
  <w:style w:type="paragraph" w:customStyle="1" w:styleId="21">
    <w:name w:val="Заголовок 21"/>
    <w:basedOn w:val="a"/>
    <w:next w:val="a"/>
    <w:link w:val="2"/>
    <w:uiPriority w:val="9"/>
    <w:unhideWhenUsed/>
    <w:qFormat/>
    <w:rsid w:val="00F517DB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customStyle="1" w:styleId="31">
    <w:name w:val="Заголовок 31"/>
    <w:basedOn w:val="a"/>
    <w:next w:val="a"/>
    <w:link w:val="3"/>
    <w:uiPriority w:val="9"/>
    <w:unhideWhenUsed/>
    <w:qFormat/>
    <w:rsid w:val="00F517DB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customStyle="1" w:styleId="41">
    <w:name w:val="Заголовок 41"/>
    <w:basedOn w:val="a"/>
    <w:next w:val="a"/>
    <w:link w:val="4"/>
    <w:uiPriority w:val="9"/>
    <w:unhideWhenUsed/>
    <w:qFormat/>
    <w:rsid w:val="00F517DB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customStyle="1" w:styleId="51">
    <w:name w:val="Заголовок 51"/>
    <w:basedOn w:val="a"/>
    <w:next w:val="a"/>
    <w:link w:val="5"/>
    <w:uiPriority w:val="9"/>
    <w:unhideWhenUsed/>
    <w:qFormat/>
    <w:rsid w:val="00F517DB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customStyle="1" w:styleId="61">
    <w:name w:val="Заголовок 61"/>
    <w:basedOn w:val="a"/>
    <w:next w:val="a"/>
    <w:link w:val="6"/>
    <w:uiPriority w:val="9"/>
    <w:unhideWhenUsed/>
    <w:qFormat/>
    <w:rsid w:val="00F517DB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customStyle="1" w:styleId="71">
    <w:name w:val="Заголовок 71"/>
    <w:basedOn w:val="a"/>
    <w:next w:val="a"/>
    <w:link w:val="7"/>
    <w:uiPriority w:val="9"/>
    <w:unhideWhenUsed/>
    <w:qFormat/>
    <w:rsid w:val="00F517DB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81">
    <w:name w:val="Заголовок 81"/>
    <w:basedOn w:val="a"/>
    <w:next w:val="a"/>
    <w:link w:val="8"/>
    <w:uiPriority w:val="9"/>
    <w:unhideWhenUsed/>
    <w:qFormat/>
    <w:rsid w:val="00F517DB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customStyle="1" w:styleId="91">
    <w:name w:val="Заголовок 91"/>
    <w:basedOn w:val="a"/>
    <w:next w:val="a"/>
    <w:link w:val="9"/>
    <w:uiPriority w:val="9"/>
    <w:unhideWhenUsed/>
    <w:qFormat/>
    <w:rsid w:val="00F517DB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2Char">
    <w:name w:val="Heading 2 Char"/>
    <w:basedOn w:val="a0"/>
    <w:link w:val="Heading2"/>
    <w:uiPriority w:val="9"/>
    <w:qFormat/>
    <w:rsid w:val="00F517DB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qFormat/>
    <w:rsid w:val="00F517DB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link w:val="Heading4"/>
    <w:uiPriority w:val="9"/>
    <w:qFormat/>
    <w:rsid w:val="00F517DB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link w:val="Heading5"/>
    <w:uiPriority w:val="9"/>
    <w:qFormat/>
    <w:rsid w:val="00F517DB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link w:val="Heading6"/>
    <w:uiPriority w:val="9"/>
    <w:qFormat/>
    <w:rsid w:val="00F517DB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qFormat/>
    <w:rsid w:val="00F517DB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qFormat/>
    <w:rsid w:val="00F517DB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link w:val="Heading9"/>
    <w:uiPriority w:val="9"/>
    <w:qFormat/>
    <w:rsid w:val="00F517DB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qFormat/>
    <w:rsid w:val="00F517DB"/>
    <w:rPr>
      <w:sz w:val="48"/>
      <w:szCs w:val="48"/>
    </w:rPr>
  </w:style>
  <w:style w:type="character" w:customStyle="1" w:styleId="SubtitleChar">
    <w:name w:val="Subtitle Char"/>
    <w:basedOn w:val="a0"/>
    <w:uiPriority w:val="11"/>
    <w:qFormat/>
    <w:rsid w:val="00F517DB"/>
    <w:rPr>
      <w:sz w:val="24"/>
      <w:szCs w:val="24"/>
    </w:rPr>
  </w:style>
  <w:style w:type="character" w:customStyle="1" w:styleId="QuoteChar">
    <w:name w:val="Quote Char"/>
    <w:uiPriority w:val="29"/>
    <w:qFormat/>
    <w:rsid w:val="00F517DB"/>
    <w:rPr>
      <w:i/>
    </w:rPr>
  </w:style>
  <w:style w:type="character" w:customStyle="1" w:styleId="IntenseQuoteChar">
    <w:name w:val="Intense Quote Char"/>
    <w:uiPriority w:val="30"/>
    <w:qFormat/>
    <w:rsid w:val="00F517DB"/>
    <w:rPr>
      <w:i/>
    </w:rPr>
  </w:style>
  <w:style w:type="character" w:customStyle="1" w:styleId="EndnoteTextChar">
    <w:name w:val="Endnote Text Char"/>
    <w:uiPriority w:val="99"/>
    <w:qFormat/>
    <w:rsid w:val="00F517DB"/>
    <w:rPr>
      <w:sz w:val="20"/>
    </w:rPr>
  </w:style>
  <w:style w:type="character" w:customStyle="1" w:styleId="Heading1Char">
    <w:name w:val="Heading 1 Char"/>
    <w:basedOn w:val="a0"/>
    <w:link w:val="Heading1"/>
    <w:uiPriority w:val="9"/>
    <w:qFormat/>
    <w:rsid w:val="00F517DB"/>
    <w:rPr>
      <w:rFonts w:ascii="Arial" w:eastAsia="Arial" w:hAnsi="Arial" w:cs="Arial"/>
      <w:sz w:val="40"/>
      <w:szCs w:val="40"/>
    </w:rPr>
  </w:style>
  <w:style w:type="character" w:customStyle="1" w:styleId="2">
    <w:name w:val="Заголовок 2 Знак"/>
    <w:basedOn w:val="a0"/>
    <w:link w:val="21"/>
    <w:uiPriority w:val="9"/>
    <w:qFormat/>
    <w:rsid w:val="00F517DB"/>
    <w:rPr>
      <w:rFonts w:ascii="Arial" w:eastAsia="Arial" w:hAnsi="Arial" w:cs="Arial"/>
      <w:sz w:val="34"/>
    </w:rPr>
  </w:style>
  <w:style w:type="character" w:customStyle="1" w:styleId="3">
    <w:name w:val="Заголовок 3 Знак"/>
    <w:basedOn w:val="a0"/>
    <w:link w:val="31"/>
    <w:uiPriority w:val="9"/>
    <w:qFormat/>
    <w:rsid w:val="00F517DB"/>
    <w:rPr>
      <w:rFonts w:ascii="Arial" w:eastAsia="Arial" w:hAnsi="Arial" w:cs="Arial"/>
      <w:sz w:val="30"/>
      <w:szCs w:val="30"/>
    </w:rPr>
  </w:style>
  <w:style w:type="character" w:customStyle="1" w:styleId="4">
    <w:name w:val="Заголовок 4 Знак"/>
    <w:basedOn w:val="a0"/>
    <w:link w:val="41"/>
    <w:uiPriority w:val="9"/>
    <w:qFormat/>
    <w:rsid w:val="00F517DB"/>
    <w:rPr>
      <w:rFonts w:ascii="Arial" w:eastAsia="Arial" w:hAnsi="Arial" w:cs="Arial"/>
      <w:b/>
      <w:bCs/>
      <w:sz w:val="26"/>
      <w:szCs w:val="26"/>
    </w:rPr>
  </w:style>
  <w:style w:type="character" w:customStyle="1" w:styleId="5">
    <w:name w:val="Заголовок 5 Знак"/>
    <w:basedOn w:val="a0"/>
    <w:link w:val="51"/>
    <w:uiPriority w:val="9"/>
    <w:qFormat/>
    <w:rsid w:val="00F517DB"/>
    <w:rPr>
      <w:rFonts w:ascii="Arial" w:eastAsia="Arial" w:hAnsi="Arial" w:cs="Arial"/>
      <w:b/>
      <w:bCs/>
      <w:sz w:val="24"/>
      <w:szCs w:val="24"/>
    </w:rPr>
  </w:style>
  <w:style w:type="character" w:customStyle="1" w:styleId="6">
    <w:name w:val="Заголовок 6 Знак"/>
    <w:basedOn w:val="a0"/>
    <w:link w:val="61"/>
    <w:uiPriority w:val="9"/>
    <w:qFormat/>
    <w:rsid w:val="00F517DB"/>
    <w:rPr>
      <w:rFonts w:ascii="Arial" w:eastAsia="Arial" w:hAnsi="Arial" w:cs="Arial"/>
      <w:b/>
      <w:bCs/>
      <w:sz w:val="22"/>
      <w:szCs w:val="22"/>
    </w:rPr>
  </w:style>
  <w:style w:type="character" w:customStyle="1" w:styleId="7">
    <w:name w:val="Заголовок 7 Знак"/>
    <w:basedOn w:val="a0"/>
    <w:link w:val="71"/>
    <w:uiPriority w:val="9"/>
    <w:qFormat/>
    <w:rsid w:val="00F517DB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">
    <w:name w:val="Заголовок 8 Знак"/>
    <w:basedOn w:val="a0"/>
    <w:link w:val="81"/>
    <w:uiPriority w:val="9"/>
    <w:qFormat/>
    <w:rsid w:val="00F517DB"/>
    <w:rPr>
      <w:rFonts w:ascii="Arial" w:eastAsia="Arial" w:hAnsi="Arial" w:cs="Arial"/>
      <w:i/>
      <w:iCs/>
      <w:sz w:val="22"/>
      <w:szCs w:val="22"/>
    </w:rPr>
  </w:style>
  <w:style w:type="character" w:customStyle="1" w:styleId="9">
    <w:name w:val="Заголовок 9 Знак"/>
    <w:basedOn w:val="a0"/>
    <w:link w:val="91"/>
    <w:uiPriority w:val="9"/>
    <w:qFormat/>
    <w:rsid w:val="00F517DB"/>
    <w:rPr>
      <w:rFonts w:ascii="Arial" w:eastAsia="Arial" w:hAnsi="Arial" w:cs="Arial"/>
      <w:i/>
      <w:iCs/>
      <w:sz w:val="21"/>
      <w:szCs w:val="21"/>
    </w:rPr>
  </w:style>
  <w:style w:type="character" w:customStyle="1" w:styleId="a3">
    <w:name w:val="Название Знак"/>
    <w:basedOn w:val="a0"/>
    <w:link w:val="a4"/>
    <w:uiPriority w:val="10"/>
    <w:qFormat/>
    <w:rsid w:val="00F517DB"/>
    <w:rPr>
      <w:sz w:val="48"/>
      <w:szCs w:val="48"/>
    </w:rPr>
  </w:style>
  <w:style w:type="character" w:customStyle="1" w:styleId="a5">
    <w:name w:val="Подзаголовок Знак"/>
    <w:basedOn w:val="a0"/>
    <w:link w:val="a6"/>
    <w:uiPriority w:val="11"/>
    <w:qFormat/>
    <w:rsid w:val="00F517DB"/>
    <w:rPr>
      <w:sz w:val="24"/>
      <w:szCs w:val="24"/>
    </w:rPr>
  </w:style>
  <w:style w:type="character" w:customStyle="1" w:styleId="20">
    <w:name w:val="Цитата 2 Знак"/>
    <w:link w:val="22"/>
    <w:uiPriority w:val="29"/>
    <w:qFormat/>
    <w:rsid w:val="00F517DB"/>
    <w:rPr>
      <w:i/>
    </w:rPr>
  </w:style>
  <w:style w:type="character" w:customStyle="1" w:styleId="a7">
    <w:name w:val="Выделенная цитата Знак"/>
    <w:link w:val="a8"/>
    <w:uiPriority w:val="30"/>
    <w:qFormat/>
    <w:rsid w:val="00F517DB"/>
    <w:rPr>
      <w:i/>
    </w:rPr>
  </w:style>
  <w:style w:type="character" w:customStyle="1" w:styleId="HeaderChar">
    <w:name w:val="Header Char"/>
    <w:basedOn w:val="a0"/>
    <w:link w:val="Header"/>
    <w:uiPriority w:val="99"/>
    <w:qFormat/>
    <w:rsid w:val="00F517DB"/>
  </w:style>
  <w:style w:type="character" w:customStyle="1" w:styleId="FooterChar">
    <w:name w:val="Footer Char"/>
    <w:basedOn w:val="a0"/>
    <w:link w:val="Footer"/>
    <w:uiPriority w:val="99"/>
    <w:qFormat/>
    <w:rsid w:val="00F517DB"/>
  </w:style>
  <w:style w:type="character" w:customStyle="1" w:styleId="CaptionChar">
    <w:name w:val="Caption Char"/>
    <w:link w:val="10"/>
    <w:uiPriority w:val="99"/>
    <w:qFormat/>
    <w:rsid w:val="00F517DB"/>
  </w:style>
  <w:style w:type="character" w:customStyle="1" w:styleId="FootnoteTextChar">
    <w:name w:val="Footnote Text Char"/>
    <w:uiPriority w:val="99"/>
    <w:qFormat/>
    <w:rsid w:val="00F517DB"/>
    <w:rPr>
      <w:sz w:val="18"/>
    </w:rPr>
  </w:style>
  <w:style w:type="character" w:customStyle="1" w:styleId="a9">
    <w:name w:val="Текст концевой сноски Знак"/>
    <w:link w:val="aa"/>
    <w:uiPriority w:val="99"/>
    <w:qFormat/>
    <w:rsid w:val="00F517DB"/>
    <w:rPr>
      <w:sz w:val="20"/>
    </w:rPr>
  </w:style>
  <w:style w:type="character" w:styleId="ab">
    <w:name w:val="endnote reference"/>
    <w:rsid w:val="00F517DB"/>
    <w:rPr>
      <w:vertAlign w:val="superscript"/>
    </w:rPr>
  </w:style>
  <w:style w:type="character" w:customStyle="1" w:styleId="EndnoteCharacters">
    <w:name w:val="Endnote Characters"/>
    <w:basedOn w:val="a0"/>
    <w:uiPriority w:val="99"/>
    <w:semiHidden/>
    <w:unhideWhenUsed/>
    <w:qFormat/>
    <w:rsid w:val="00F517DB"/>
    <w:rPr>
      <w:vertAlign w:val="superscript"/>
    </w:rPr>
  </w:style>
  <w:style w:type="character" w:customStyle="1" w:styleId="apple-converted-space">
    <w:name w:val="apple-converted-space"/>
    <w:basedOn w:val="a0"/>
    <w:qFormat/>
    <w:rsid w:val="00F517DB"/>
  </w:style>
  <w:style w:type="character" w:customStyle="1" w:styleId="ac">
    <w:name w:val="Верхний колонтитул Знак"/>
    <w:basedOn w:val="a0"/>
    <w:link w:val="12"/>
    <w:uiPriority w:val="99"/>
    <w:qFormat/>
    <w:rsid w:val="00F517DB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d">
    <w:name w:val="Нижний колонтитул Знак"/>
    <w:basedOn w:val="a0"/>
    <w:link w:val="13"/>
    <w:qFormat/>
    <w:rsid w:val="00F517D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e">
    <w:name w:val="Текст выноски Знак"/>
    <w:basedOn w:val="a0"/>
    <w:link w:val="af"/>
    <w:uiPriority w:val="99"/>
    <w:semiHidden/>
    <w:qFormat/>
    <w:rsid w:val="00F517DB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F517DB"/>
    <w:rPr>
      <w:color w:val="0000FF" w:themeColor="hyperlink"/>
      <w:u w:val="single"/>
    </w:rPr>
  </w:style>
  <w:style w:type="character" w:customStyle="1" w:styleId="ConsPlusNormal">
    <w:name w:val="ConsPlusNormal Знак"/>
    <w:link w:val="ConsPlusNormal0"/>
    <w:uiPriority w:val="99"/>
    <w:qFormat/>
    <w:rsid w:val="00F517DB"/>
    <w:rPr>
      <w:rFonts w:ascii="Calibri" w:eastAsia="Times New Roman" w:hAnsi="Calibri" w:cs="Calibri"/>
      <w:szCs w:val="20"/>
      <w:lang w:eastAsia="ru-RU"/>
    </w:rPr>
  </w:style>
  <w:style w:type="character" w:styleId="af0">
    <w:name w:val="annotation reference"/>
    <w:basedOn w:val="a0"/>
    <w:uiPriority w:val="99"/>
    <w:semiHidden/>
    <w:unhideWhenUsed/>
    <w:qFormat/>
    <w:rsid w:val="00F517DB"/>
    <w:rPr>
      <w:sz w:val="16"/>
      <w:szCs w:val="16"/>
    </w:rPr>
  </w:style>
  <w:style w:type="character" w:customStyle="1" w:styleId="af1">
    <w:name w:val="Текст примечания Знак"/>
    <w:basedOn w:val="a0"/>
    <w:link w:val="af2"/>
    <w:uiPriority w:val="99"/>
    <w:semiHidden/>
    <w:qFormat/>
    <w:rsid w:val="00F517D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Тема примечания Знак"/>
    <w:basedOn w:val="af1"/>
    <w:link w:val="af4"/>
    <w:uiPriority w:val="99"/>
    <w:semiHidden/>
    <w:qFormat/>
    <w:rsid w:val="00F517D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5">
    <w:name w:val="Основной текст с отступом Знак"/>
    <w:basedOn w:val="a0"/>
    <w:link w:val="BodyTextIndented"/>
    <w:qFormat/>
    <w:rsid w:val="00F517D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30">
    <w:name w:val="Основной текст 3 Знак"/>
    <w:basedOn w:val="a0"/>
    <w:link w:val="32"/>
    <w:qFormat/>
    <w:rsid w:val="00F517D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af6">
    <w:name w:val="Гипертекстовая ссылка"/>
    <w:uiPriority w:val="99"/>
    <w:qFormat/>
    <w:rsid w:val="00F517DB"/>
    <w:rPr>
      <w:rFonts w:ascii="Times New Roman" w:hAnsi="Times New Roman" w:cs="Times New Roman"/>
      <w:b w:val="0"/>
      <w:bCs w:val="0"/>
      <w:color w:val="106BBE"/>
    </w:rPr>
  </w:style>
  <w:style w:type="character" w:customStyle="1" w:styleId="1">
    <w:name w:val="Заголовок 1 Знак"/>
    <w:basedOn w:val="a0"/>
    <w:link w:val="11"/>
    <w:uiPriority w:val="99"/>
    <w:qFormat/>
    <w:rsid w:val="00F517DB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extended-textfull">
    <w:name w:val="extended-text__full"/>
    <w:qFormat/>
    <w:rsid w:val="00F517DB"/>
  </w:style>
  <w:style w:type="character" w:customStyle="1" w:styleId="af7">
    <w:name w:val="Текст сноски Знак"/>
    <w:basedOn w:val="a0"/>
    <w:link w:val="af8"/>
    <w:uiPriority w:val="99"/>
    <w:semiHidden/>
    <w:qFormat/>
    <w:rsid w:val="00F517D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rsid w:val="00F517DB"/>
    <w:rPr>
      <w:vertAlign w:val="superscript"/>
    </w:rPr>
  </w:style>
  <w:style w:type="character" w:customStyle="1" w:styleId="FootnoteCharacters">
    <w:name w:val="Footnote Characters"/>
    <w:basedOn w:val="a0"/>
    <w:uiPriority w:val="99"/>
    <w:semiHidden/>
    <w:unhideWhenUsed/>
    <w:qFormat/>
    <w:rsid w:val="00F517DB"/>
    <w:rPr>
      <w:vertAlign w:val="superscript"/>
    </w:rPr>
  </w:style>
  <w:style w:type="character" w:styleId="afa">
    <w:name w:val="Hyperlink"/>
    <w:rsid w:val="00F517DB"/>
    <w:rPr>
      <w:color w:val="000080"/>
      <w:u w:val="single"/>
    </w:rPr>
  </w:style>
  <w:style w:type="character" w:styleId="afb">
    <w:name w:val="line number"/>
    <w:rsid w:val="00F517DB"/>
  </w:style>
  <w:style w:type="paragraph" w:styleId="a4">
    <w:name w:val="Title"/>
    <w:basedOn w:val="a"/>
    <w:next w:val="afc"/>
    <w:link w:val="a3"/>
    <w:uiPriority w:val="10"/>
    <w:qFormat/>
    <w:rsid w:val="00F517DB"/>
    <w:pPr>
      <w:spacing w:before="300" w:after="200"/>
      <w:contextualSpacing/>
    </w:pPr>
    <w:rPr>
      <w:sz w:val="48"/>
      <w:szCs w:val="48"/>
    </w:rPr>
  </w:style>
  <w:style w:type="paragraph" w:styleId="afc">
    <w:name w:val="Body Text"/>
    <w:basedOn w:val="a"/>
    <w:rsid w:val="00F517DB"/>
    <w:pPr>
      <w:spacing w:after="140" w:line="276" w:lineRule="auto"/>
    </w:pPr>
  </w:style>
  <w:style w:type="paragraph" w:styleId="afd">
    <w:name w:val="List"/>
    <w:basedOn w:val="afc"/>
    <w:rsid w:val="00F517DB"/>
    <w:rPr>
      <w:rFonts w:cs="Droid Sans"/>
    </w:rPr>
  </w:style>
  <w:style w:type="paragraph" w:customStyle="1" w:styleId="10">
    <w:name w:val="Название объекта1"/>
    <w:basedOn w:val="a"/>
    <w:next w:val="a"/>
    <w:link w:val="CaptionChar"/>
    <w:uiPriority w:val="35"/>
    <w:semiHidden/>
    <w:unhideWhenUsed/>
    <w:qFormat/>
    <w:rsid w:val="00F517DB"/>
    <w:pPr>
      <w:spacing w:line="276" w:lineRule="auto"/>
    </w:pPr>
    <w:rPr>
      <w:b/>
      <w:bCs/>
      <w:color w:val="4F81BD" w:themeColor="accent1"/>
      <w:sz w:val="18"/>
      <w:szCs w:val="18"/>
    </w:rPr>
  </w:style>
  <w:style w:type="paragraph" w:styleId="afe">
    <w:name w:val="index heading"/>
    <w:basedOn w:val="a4"/>
    <w:rsid w:val="00F517DB"/>
  </w:style>
  <w:style w:type="paragraph" w:styleId="a6">
    <w:name w:val="Subtitle"/>
    <w:basedOn w:val="a"/>
    <w:next w:val="a"/>
    <w:link w:val="a5"/>
    <w:uiPriority w:val="11"/>
    <w:qFormat/>
    <w:rsid w:val="00F517DB"/>
    <w:pPr>
      <w:spacing w:before="200" w:after="200"/>
    </w:pPr>
    <w:rPr>
      <w:sz w:val="24"/>
      <w:szCs w:val="24"/>
    </w:rPr>
  </w:style>
  <w:style w:type="paragraph" w:styleId="22">
    <w:name w:val="Quote"/>
    <w:basedOn w:val="a"/>
    <w:next w:val="a"/>
    <w:link w:val="20"/>
    <w:uiPriority w:val="29"/>
    <w:qFormat/>
    <w:rsid w:val="00F517DB"/>
    <w:pPr>
      <w:ind w:left="720" w:right="720"/>
    </w:pPr>
    <w:rPr>
      <w:i/>
    </w:rPr>
  </w:style>
  <w:style w:type="paragraph" w:styleId="a8">
    <w:name w:val="Intense Quote"/>
    <w:basedOn w:val="a"/>
    <w:next w:val="a"/>
    <w:link w:val="a7"/>
    <w:uiPriority w:val="30"/>
    <w:qFormat/>
    <w:rsid w:val="00F517DB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aa">
    <w:name w:val="endnote text"/>
    <w:basedOn w:val="a"/>
    <w:link w:val="a9"/>
    <w:uiPriority w:val="99"/>
    <w:semiHidden/>
    <w:unhideWhenUsed/>
    <w:rsid w:val="00F517DB"/>
    <w:rPr>
      <w:sz w:val="20"/>
    </w:rPr>
  </w:style>
  <w:style w:type="paragraph" w:styleId="14">
    <w:name w:val="toc 1"/>
    <w:basedOn w:val="a"/>
    <w:next w:val="a"/>
    <w:uiPriority w:val="39"/>
    <w:unhideWhenUsed/>
    <w:rsid w:val="00F517DB"/>
    <w:pPr>
      <w:spacing w:after="57"/>
    </w:pPr>
  </w:style>
  <w:style w:type="paragraph" w:styleId="23">
    <w:name w:val="toc 2"/>
    <w:basedOn w:val="a"/>
    <w:next w:val="a"/>
    <w:uiPriority w:val="39"/>
    <w:unhideWhenUsed/>
    <w:rsid w:val="00F517DB"/>
    <w:pPr>
      <w:spacing w:after="57"/>
      <w:ind w:left="283"/>
    </w:pPr>
  </w:style>
  <w:style w:type="paragraph" w:styleId="33">
    <w:name w:val="toc 3"/>
    <w:basedOn w:val="a"/>
    <w:next w:val="a"/>
    <w:uiPriority w:val="39"/>
    <w:unhideWhenUsed/>
    <w:rsid w:val="00F517DB"/>
    <w:pPr>
      <w:spacing w:after="57"/>
      <w:ind w:left="567"/>
    </w:pPr>
  </w:style>
  <w:style w:type="paragraph" w:styleId="40">
    <w:name w:val="toc 4"/>
    <w:basedOn w:val="a"/>
    <w:next w:val="a"/>
    <w:uiPriority w:val="39"/>
    <w:unhideWhenUsed/>
    <w:rsid w:val="00F517DB"/>
    <w:pPr>
      <w:spacing w:after="57"/>
      <w:ind w:left="850"/>
    </w:pPr>
  </w:style>
  <w:style w:type="paragraph" w:styleId="50">
    <w:name w:val="toc 5"/>
    <w:basedOn w:val="a"/>
    <w:next w:val="a"/>
    <w:uiPriority w:val="39"/>
    <w:unhideWhenUsed/>
    <w:rsid w:val="00F517DB"/>
    <w:pPr>
      <w:spacing w:after="57"/>
      <w:ind w:left="1134"/>
    </w:pPr>
  </w:style>
  <w:style w:type="paragraph" w:styleId="60">
    <w:name w:val="toc 6"/>
    <w:basedOn w:val="a"/>
    <w:next w:val="a"/>
    <w:uiPriority w:val="39"/>
    <w:unhideWhenUsed/>
    <w:rsid w:val="00F517DB"/>
    <w:pPr>
      <w:spacing w:after="57"/>
      <w:ind w:left="1417"/>
    </w:pPr>
  </w:style>
  <w:style w:type="paragraph" w:styleId="70">
    <w:name w:val="toc 7"/>
    <w:basedOn w:val="a"/>
    <w:next w:val="a"/>
    <w:uiPriority w:val="39"/>
    <w:unhideWhenUsed/>
    <w:rsid w:val="00F517DB"/>
    <w:pPr>
      <w:spacing w:after="57"/>
      <w:ind w:left="1701"/>
    </w:pPr>
  </w:style>
  <w:style w:type="paragraph" w:styleId="80">
    <w:name w:val="toc 8"/>
    <w:basedOn w:val="a"/>
    <w:next w:val="a"/>
    <w:uiPriority w:val="39"/>
    <w:unhideWhenUsed/>
    <w:rsid w:val="00F517DB"/>
    <w:pPr>
      <w:spacing w:after="57"/>
      <w:ind w:left="1984"/>
    </w:pPr>
  </w:style>
  <w:style w:type="paragraph" w:styleId="90">
    <w:name w:val="toc 9"/>
    <w:basedOn w:val="a"/>
    <w:next w:val="a"/>
    <w:uiPriority w:val="39"/>
    <w:unhideWhenUsed/>
    <w:rsid w:val="00F517DB"/>
    <w:pPr>
      <w:spacing w:after="57"/>
      <w:ind w:left="2268"/>
    </w:pPr>
  </w:style>
  <w:style w:type="paragraph" w:styleId="aff">
    <w:name w:val="TOC Heading"/>
    <w:uiPriority w:val="39"/>
    <w:unhideWhenUsed/>
    <w:qFormat/>
    <w:rsid w:val="00F517DB"/>
    <w:pPr>
      <w:spacing w:after="200" w:line="276" w:lineRule="auto"/>
    </w:pPr>
  </w:style>
  <w:style w:type="paragraph" w:styleId="aff0">
    <w:name w:val="table of figures"/>
    <w:basedOn w:val="a"/>
    <w:next w:val="a"/>
    <w:uiPriority w:val="99"/>
    <w:unhideWhenUsed/>
    <w:rsid w:val="00F517DB"/>
  </w:style>
  <w:style w:type="paragraph" w:customStyle="1" w:styleId="HeaderandFooter">
    <w:name w:val="Header and Footer"/>
    <w:basedOn w:val="a"/>
    <w:qFormat/>
    <w:rsid w:val="00F517DB"/>
  </w:style>
  <w:style w:type="paragraph" w:customStyle="1" w:styleId="12">
    <w:name w:val="Верхний колонтитул1"/>
    <w:basedOn w:val="a"/>
    <w:link w:val="ac"/>
    <w:uiPriority w:val="99"/>
    <w:rsid w:val="00F517DB"/>
    <w:pPr>
      <w:tabs>
        <w:tab w:val="center" w:pos="4153"/>
        <w:tab w:val="right" w:pos="8306"/>
      </w:tabs>
    </w:pPr>
    <w:rPr>
      <w:szCs w:val="28"/>
    </w:rPr>
  </w:style>
  <w:style w:type="paragraph" w:customStyle="1" w:styleId="13">
    <w:name w:val="Нижний колонтитул1"/>
    <w:basedOn w:val="a"/>
    <w:link w:val="ad"/>
    <w:unhideWhenUsed/>
    <w:rsid w:val="00F517DB"/>
    <w:pPr>
      <w:tabs>
        <w:tab w:val="center" w:pos="4677"/>
        <w:tab w:val="right" w:pos="9355"/>
      </w:tabs>
    </w:pPr>
  </w:style>
  <w:style w:type="paragraph" w:styleId="af">
    <w:name w:val="Balloon Text"/>
    <w:basedOn w:val="a"/>
    <w:link w:val="ae"/>
    <w:uiPriority w:val="99"/>
    <w:semiHidden/>
    <w:unhideWhenUsed/>
    <w:qFormat/>
    <w:rsid w:val="00F517DB"/>
    <w:rPr>
      <w:rFonts w:ascii="Tahoma" w:hAnsi="Tahoma" w:cs="Tahoma"/>
      <w:sz w:val="16"/>
      <w:szCs w:val="16"/>
    </w:rPr>
  </w:style>
  <w:style w:type="paragraph" w:customStyle="1" w:styleId="ConsPlusNormal0">
    <w:name w:val="ConsPlusNormal"/>
    <w:link w:val="ConsPlusNormal"/>
    <w:qFormat/>
    <w:rsid w:val="00F517DB"/>
    <w:rPr>
      <w:rFonts w:ascii="Arial" w:eastAsia="Arial" w:hAnsi="Arial"/>
      <w:sz w:val="16"/>
      <w:szCs w:val="20"/>
      <w:lang w:val="en-US" w:eastAsia="zh-CN"/>
    </w:rPr>
  </w:style>
  <w:style w:type="paragraph" w:customStyle="1" w:styleId="ConsPlusTitle">
    <w:name w:val="ConsPlusTitle"/>
    <w:qFormat/>
    <w:rsid w:val="00F517DB"/>
    <w:pPr>
      <w:widowControl w:val="0"/>
    </w:pPr>
    <w:rPr>
      <w:rFonts w:eastAsia="Times New Roman" w:cs="Calibri"/>
      <w:b/>
      <w:szCs w:val="20"/>
      <w:lang w:eastAsia="ru-RU"/>
    </w:rPr>
  </w:style>
  <w:style w:type="paragraph" w:styleId="af2">
    <w:name w:val="annotation text"/>
    <w:basedOn w:val="a"/>
    <w:link w:val="af1"/>
    <w:uiPriority w:val="99"/>
    <w:semiHidden/>
    <w:unhideWhenUsed/>
    <w:rsid w:val="00F517DB"/>
    <w:rPr>
      <w:sz w:val="20"/>
    </w:rPr>
  </w:style>
  <w:style w:type="paragraph" w:styleId="af4">
    <w:name w:val="annotation subject"/>
    <w:basedOn w:val="af2"/>
    <w:next w:val="af2"/>
    <w:link w:val="af3"/>
    <w:uiPriority w:val="99"/>
    <w:semiHidden/>
    <w:unhideWhenUsed/>
    <w:qFormat/>
    <w:rsid w:val="00F517DB"/>
    <w:rPr>
      <w:b/>
      <w:bCs/>
    </w:rPr>
  </w:style>
  <w:style w:type="paragraph" w:customStyle="1" w:styleId="BodyTextIndented">
    <w:name w:val="Body Text;Indented"/>
    <w:basedOn w:val="a"/>
    <w:link w:val="af5"/>
    <w:qFormat/>
    <w:rsid w:val="00F517DB"/>
    <w:pPr>
      <w:jc w:val="center"/>
    </w:pPr>
    <w:rPr>
      <w:b/>
      <w:bCs/>
      <w:sz w:val="26"/>
      <w:szCs w:val="26"/>
    </w:rPr>
  </w:style>
  <w:style w:type="paragraph" w:styleId="32">
    <w:name w:val="Body Text 3"/>
    <w:basedOn w:val="a"/>
    <w:link w:val="30"/>
    <w:qFormat/>
    <w:rsid w:val="00F517DB"/>
    <w:pPr>
      <w:jc w:val="center"/>
    </w:pPr>
    <w:rPr>
      <w:b/>
      <w:bCs/>
      <w:szCs w:val="28"/>
    </w:rPr>
  </w:style>
  <w:style w:type="paragraph" w:customStyle="1" w:styleId="aff1">
    <w:name w:val="Прижатый влево"/>
    <w:basedOn w:val="a"/>
    <w:next w:val="a"/>
    <w:uiPriority w:val="99"/>
    <w:qFormat/>
    <w:rsid w:val="00F517DB"/>
    <w:rPr>
      <w:rFonts w:ascii="Arial" w:hAnsi="Arial" w:cs="Arial"/>
      <w:sz w:val="24"/>
      <w:szCs w:val="24"/>
    </w:rPr>
  </w:style>
  <w:style w:type="paragraph" w:styleId="aff2">
    <w:name w:val="No Spacing"/>
    <w:uiPriority w:val="1"/>
    <w:qFormat/>
    <w:rsid w:val="00F517DB"/>
  </w:style>
  <w:style w:type="paragraph" w:styleId="aff3">
    <w:name w:val="List Paragraph"/>
    <w:basedOn w:val="a"/>
    <w:uiPriority w:val="34"/>
    <w:qFormat/>
    <w:rsid w:val="00F517DB"/>
    <w:pPr>
      <w:ind w:left="720"/>
      <w:contextualSpacing/>
    </w:pPr>
    <w:rPr>
      <w:sz w:val="24"/>
      <w:szCs w:val="24"/>
    </w:rPr>
  </w:style>
  <w:style w:type="paragraph" w:styleId="af8">
    <w:name w:val="footnote text"/>
    <w:basedOn w:val="a"/>
    <w:link w:val="af7"/>
    <w:uiPriority w:val="99"/>
    <w:semiHidden/>
    <w:unhideWhenUsed/>
    <w:rsid w:val="00F517DB"/>
    <w:rPr>
      <w:sz w:val="20"/>
    </w:rPr>
  </w:style>
  <w:style w:type="numbering" w:customStyle="1" w:styleId="aff4">
    <w:name w:val="Без списка"/>
    <w:uiPriority w:val="99"/>
    <w:semiHidden/>
    <w:unhideWhenUsed/>
    <w:qFormat/>
    <w:rsid w:val="00F517DB"/>
  </w:style>
  <w:style w:type="table" w:styleId="aff5">
    <w:name w:val="Table Grid"/>
    <w:basedOn w:val="a1"/>
    <w:uiPriority w:val="59"/>
    <w:rsid w:val="00F517D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F517DB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basedOn w:val="a1"/>
    <w:uiPriority w:val="59"/>
    <w:rsid w:val="00F517DB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</w:tblStylePr>
    <w:tblStylePr w:type="lastRow">
      <w:rPr>
        <w:b/>
        <w:sz w:val="22"/>
      </w:r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tblPr/>
      <w:tcPr>
        <w:shd w:val="clear" w:color="F2F2F2" w:fill="FFFFFF" w:themeFill="text1" w:themeFillTint="0"/>
      </w:tcPr>
    </w:tblStylePr>
    <w:tblStylePr w:type="band1Horz">
      <w:tblPr/>
      <w:tcPr>
        <w:shd w:val="clear" w:color="F2F2F2" w:fill="FFFFFF" w:themeFill="text1" w:themeFillTint="0"/>
      </w:tcPr>
    </w:tblStylePr>
  </w:style>
  <w:style w:type="table" w:customStyle="1" w:styleId="210">
    <w:name w:val="Таблица простая 21"/>
    <w:basedOn w:val="a1"/>
    <w:uiPriority w:val="59"/>
    <w:rsid w:val="00F517DB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sz w:val="22"/>
      </w:r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</w:rPr>
    </w:tblStylePr>
    <w:tblStylePr w:type="firstCol">
      <w:rPr>
        <w:b/>
        <w:caps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</w:rPr>
    </w:tblStylePr>
    <w:tblStylePr w:type="band1Vert">
      <w:rPr>
        <w:sz w:val="22"/>
      </w:rPr>
      <w:tblPr/>
      <w:tcPr>
        <w:shd w:val="clear" w:color="F2F2F2" w:fill="FFFFFF" w:themeFill="text1" w:themeFillTint="0"/>
      </w:tcPr>
    </w:tblStylePr>
    <w:tblStylePr w:type="band1Horz">
      <w:rPr>
        <w:sz w:val="22"/>
      </w:rPr>
      <w:tblPr/>
      <w:tcPr>
        <w:shd w:val="clear" w:color="F2F2F2" w:fill="FFFFFF" w:themeFill="text1" w:themeFillTint="0"/>
      </w:tcPr>
    </w:tblStylePr>
  </w:style>
  <w:style w:type="table" w:customStyle="1" w:styleId="410">
    <w:name w:val="Таблица простая 41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2F2F2" w:fill="FFFFFF" w:themeFill="text1" w:themeFillTint="0"/>
      </w:tcPr>
    </w:tblStylePr>
    <w:tblStylePr w:type="band1Horz">
      <w:rPr>
        <w:sz w:val="22"/>
      </w:rPr>
      <w:tblPr/>
      <w:tcPr>
        <w:shd w:val="clear" w:color="F2F2F2" w:fill="FFFFFF" w:themeFill="text1" w:themeFillTint="0"/>
      </w:tcPr>
    </w:tblStylePr>
  </w:style>
  <w:style w:type="table" w:customStyle="1" w:styleId="510">
    <w:name w:val="Таблица простая 51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2F2F2" w:fill="FFFFFF" w:themeFill="text1" w:themeFillTint="0"/>
      </w:tcPr>
    </w:tblStylePr>
    <w:tblStylePr w:type="band1Horz">
      <w:rPr>
        <w:sz w:val="22"/>
      </w:rPr>
      <w:tblPr/>
      <w:tcPr>
        <w:shd w:val="clear" w:color="F2F2F2" w:fill="FFFFFF" w:themeFill="text1" w:themeFillTint="0"/>
      </w:tcPr>
    </w:tblStylePr>
  </w:style>
  <w:style w:type="table" w:customStyle="1" w:styleId="-11">
    <w:name w:val="Таблица-сетка 1 светлая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customStyle="1" w:styleId="-21">
    <w:name w:val="Таблица-сетка 2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5D8AC2" w:fill="5D8AC2" w:themeFill="accent1" w:themeFillTint="EA"/>
      </w:tcPr>
    </w:tblStylePr>
    <w:tblStylePr w:type="lastRow">
      <w:rPr>
        <w:b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CE6F2" w:fill="DCE6F2" w:themeFill="accent1" w:themeFillTint="32"/>
      </w:tcPr>
    </w:tblStylePr>
    <w:tblStylePr w:type="band1Horz">
      <w:rPr>
        <w:sz w:val="22"/>
      </w:rPr>
      <w:tblPr/>
      <w:tcPr>
        <w:shd w:val="clear" w:color="DCE6F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D99695" w:fill="D99695" w:themeFill="accent2" w:themeFillTint="97"/>
      </w:tcPr>
    </w:tblStylePr>
    <w:tblStylePr w:type="lastRow">
      <w:rPr>
        <w:b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9ABB59" w:fill="9ABB59" w:themeFill="accent3" w:themeFillTint="FE"/>
      </w:tcPr>
    </w:tblStylePr>
    <w:tblStylePr w:type="lastRow">
      <w:rPr>
        <w:b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B2A1C6" w:fill="B2A1C6" w:themeFill="accent4" w:themeFillTint="9A"/>
      </w:tcPr>
    </w:tblStylePr>
    <w:tblStylePr w:type="lastRow">
      <w:rPr>
        <w:b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fill="4BACC6" w:themeFill="accent5"/>
      </w:tcPr>
    </w:tblStylePr>
    <w:tblStylePr w:type="lastRow">
      <w:rPr>
        <w:b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F517D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fill="F79646" w:themeFill="accent6"/>
      </w:tcPr>
    </w:tblStylePr>
    <w:tblStylePr w:type="lastRow">
      <w:rPr>
        <w:b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b/>
        <w:sz w:val="22"/>
      </w:rPr>
      <w:tblPr/>
      <w:tcPr>
        <w:shd w:val="clear" w:color="000000" w:fill="000000" w:themeFill="text1"/>
      </w:tcPr>
    </w:tblStylePr>
    <w:tblStylePr w:type="lastCol">
      <w:rPr>
        <w:b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4F81BD" w:fill="4F81BD" w:themeFill="accent1"/>
      </w:tcPr>
    </w:tblStylePr>
    <w:tblStylePr w:type="firstCol">
      <w:rPr>
        <w:b/>
        <w:sz w:val="22"/>
      </w:rPr>
      <w:tblPr/>
      <w:tcPr>
        <w:shd w:val="clear" w:color="4F81BD" w:fill="4F81BD" w:themeFill="accent1"/>
      </w:tcPr>
    </w:tblStylePr>
    <w:tblStylePr w:type="lastCol">
      <w:rPr>
        <w:b/>
        <w:sz w:val="22"/>
      </w:rPr>
      <w:tblPr/>
      <w:tcPr>
        <w:shd w:val="clear" w:color="4F81BD" w:fill="4F81BD" w:themeFill="accent1"/>
      </w:tcPr>
    </w:tblStylePr>
    <w:tblStylePr w:type="band1Vert">
      <w:tblPr/>
      <w:tcPr>
        <w:shd w:val="clear" w:color="AEC4E0" w:fill="AEC4E0" w:themeFill="accent1" w:themeFillTint="75"/>
      </w:tcPr>
    </w:tblStylePr>
    <w:tblStylePr w:type="band1Horz">
      <w:tblPr/>
      <w:tcPr>
        <w:shd w:val="clear" w:color="AEC4E0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C0504D" w:fill="C0504D" w:themeFill="accent2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C0504D" w:fill="C0504D" w:themeFill="accent2"/>
      </w:tcPr>
    </w:tblStylePr>
    <w:tblStylePr w:type="firstCol">
      <w:rPr>
        <w:b/>
        <w:sz w:val="22"/>
      </w:rPr>
      <w:tblPr/>
      <w:tcPr>
        <w:shd w:val="clear" w:color="C0504D" w:fill="C0504D" w:themeFill="accent2"/>
      </w:tcPr>
    </w:tblStylePr>
    <w:tblStylePr w:type="lastCol">
      <w:rPr>
        <w:b/>
        <w:sz w:val="22"/>
      </w:rPr>
      <w:tblPr/>
      <w:tcPr>
        <w:shd w:val="clear" w:color="C0504D" w:fill="C0504D" w:themeFill="accent2"/>
      </w:tcPr>
    </w:tblStylePr>
    <w:tblStylePr w:type="band1Vert">
      <w:tblPr/>
      <w:tcPr>
        <w:shd w:val="clear" w:color="E2AEAD" w:fill="E2AEAD" w:themeFill="accent2" w:themeFillTint="75"/>
      </w:tcPr>
    </w:tblStylePr>
    <w:tblStylePr w:type="band1Horz">
      <w:tblPr/>
      <w:tcPr>
        <w:shd w:val="clear" w:color="E2AEAD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9BBB59" w:fill="9BBB59" w:themeFill="accent3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9BBB59" w:fill="9BBB59" w:themeFill="accent3"/>
      </w:tcPr>
    </w:tblStylePr>
    <w:tblStylePr w:type="firstCol">
      <w:rPr>
        <w:b/>
        <w:sz w:val="22"/>
      </w:rPr>
      <w:tblPr/>
      <w:tcPr>
        <w:shd w:val="clear" w:color="9BBB59" w:fill="9BBB59" w:themeFill="accent3"/>
      </w:tcPr>
    </w:tblStylePr>
    <w:tblStylePr w:type="lastCol">
      <w:rPr>
        <w:b/>
        <w:sz w:val="22"/>
      </w:rPr>
      <w:tblPr/>
      <w:tcPr>
        <w:shd w:val="clear" w:color="9BBB59" w:fill="9BBB59" w:themeFill="accent3"/>
      </w:tcPr>
    </w:tblStylePr>
    <w:tblStylePr w:type="band1Vert">
      <w:tblPr/>
      <w:tcPr>
        <w:shd w:val="clear" w:color="D0DFB2" w:fill="D0DFB2" w:themeFill="accent3" w:themeFillTint="75"/>
      </w:tcPr>
    </w:tblStylePr>
    <w:tblStylePr w:type="band1Horz">
      <w:tblPr/>
      <w:tcPr>
        <w:shd w:val="clear" w:color="D0DFB2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8064A2" w:fill="8064A2" w:themeFill="accent4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8064A2" w:fill="8064A2" w:themeFill="accent4"/>
      </w:tcPr>
    </w:tblStylePr>
    <w:tblStylePr w:type="firstCol">
      <w:rPr>
        <w:b/>
        <w:sz w:val="22"/>
      </w:rPr>
      <w:tblPr/>
      <w:tcPr>
        <w:shd w:val="clear" w:color="8064A2" w:fill="8064A2" w:themeFill="accent4"/>
      </w:tcPr>
    </w:tblStylePr>
    <w:tblStylePr w:type="lastCol">
      <w:rPr>
        <w:b/>
        <w:sz w:val="22"/>
      </w:rPr>
      <w:tblPr/>
      <w:tcPr>
        <w:shd w:val="clear" w:color="8064A2" w:fill="8064A2" w:themeFill="accent4"/>
      </w:tcPr>
    </w:tblStylePr>
    <w:tblStylePr w:type="band1Vert">
      <w:tblPr/>
      <w:tcPr>
        <w:shd w:val="clear" w:color="C4B7D4" w:fill="C4B7D4" w:themeFill="accent4" w:themeFillTint="75"/>
      </w:tcPr>
    </w:tblStylePr>
    <w:tblStylePr w:type="band1Horz">
      <w:tblPr/>
      <w:tcPr>
        <w:shd w:val="clear" w:color="C4B7D4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4BACC6" w:fill="4BACC6" w:themeFill="accent5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4BACC6" w:fill="4BACC6" w:themeFill="accent5"/>
      </w:tcPr>
    </w:tblStylePr>
    <w:tblStylePr w:type="firstCol">
      <w:rPr>
        <w:b/>
        <w:sz w:val="22"/>
      </w:rPr>
      <w:tblPr/>
      <w:tcPr>
        <w:shd w:val="clear" w:color="4BACC6" w:fill="4BACC6" w:themeFill="accent5"/>
      </w:tcPr>
    </w:tblStylePr>
    <w:tblStylePr w:type="lastCol">
      <w:rPr>
        <w:b/>
        <w:sz w:val="22"/>
      </w:rPr>
      <w:tblPr/>
      <w:tcPr>
        <w:shd w:val="clear" w:color="4BACC6" w:fill="4BACC6" w:themeFill="accent5"/>
      </w:tcPr>
    </w:tblStylePr>
    <w:tblStylePr w:type="band1Vert">
      <w:tblPr/>
      <w:tcPr>
        <w:shd w:val="clear" w:color="ACD8E4" w:fill="ACD8E4" w:themeFill="accent5" w:themeFillTint="75"/>
      </w:tcPr>
    </w:tblStylePr>
    <w:tblStylePr w:type="band1Horz">
      <w:tblPr/>
      <w:tcPr>
        <w:shd w:val="clear" w:color="ACD8E4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F79646" w:fill="F79646" w:themeFill="accent6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79646" w:fill="F79646" w:themeFill="accent6"/>
      </w:tcPr>
    </w:tblStylePr>
    <w:tblStylePr w:type="firstCol">
      <w:rPr>
        <w:b/>
        <w:sz w:val="22"/>
      </w:rPr>
      <w:tblPr/>
      <w:tcPr>
        <w:shd w:val="clear" w:color="F79646" w:fill="F79646" w:themeFill="accent6"/>
      </w:tcPr>
    </w:tblStylePr>
    <w:tblStylePr w:type="lastCol">
      <w:rPr>
        <w:b/>
        <w:sz w:val="22"/>
      </w:rPr>
      <w:tblPr/>
      <w:tcPr>
        <w:shd w:val="clear" w:color="F79646" w:fill="F79646" w:themeFill="accent6"/>
      </w:tcPr>
    </w:tblStylePr>
    <w:tblStylePr w:type="band1Vert">
      <w:tblPr/>
      <w:tcPr>
        <w:shd w:val="clear" w:color="FBCEAA" w:fill="FBCEAA" w:themeFill="accent6" w:themeFillTint="75"/>
      </w:tcPr>
    </w:tblStylePr>
    <w:tblStylePr w:type="band1Horz">
      <w:tblPr/>
      <w:tcPr>
        <w:shd w:val="clear" w:color="FBCEAA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fill="FFFFFF" w:themeFill="text1" w:themeFillTint="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FFFFF" w:themeFill="text1" w:themeFillTint="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F517DB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tblPr/>
      <w:tcPr>
        <w:shd w:val="clear" w:color="D2DFEE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tblPr/>
      <w:tcPr>
        <w:shd w:val="clear" w:color="EFD2D2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tblPr/>
      <w:tcPr>
        <w:shd w:val="clear" w:color="E5EED5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tblPr/>
      <w:tcPr>
        <w:shd w:val="clear" w:color="DFD8E7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tblPr/>
      <w:tcPr>
        <w:shd w:val="clear" w:color="D1EAF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F517D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tblPr/>
      <w:tcPr>
        <w:shd w:val="clear" w:color="FDE4D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C3D69B" w:fill="C3D69B" w:themeFill="accent3" w:themeFillTint="98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92CCDC" w:fill="92CCDC" w:themeFill="accent5" w:themeFillTint="9A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FAC090" w:fill="FAC090" w:themeFill="accent6" w:themeFillTint="98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customStyle="1" w:styleId="-410">
    <w:name w:val="Список-таблица 4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C0504D" w:fill="C0504D" w:themeFill="accent2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9BBB59" w:fill="9BBB59" w:themeFill="accent3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8064A2" w:fill="8064A2" w:themeFill="accent4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4BACC6" w:fill="4BACC6" w:themeFill="accent5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shd w:val="clear" w:color="F79646" w:fill="F79646" w:themeFill="accent6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D99695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C3D69B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B2A1C6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92CCDC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FAC090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F517DB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7F7F7F" w:fill="7F7F7F" w:themeFill="text1" w:themeFillTint="80"/>
      </w:tcPr>
    </w:tblStylePr>
    <w:tblStylePr w:type="lastRow">
      <w:rPr>
        <w:sz w:val="22"/>
      </w:rPr>
      <w:tblPr/>
      <w:tcPr>
        <w:shd w:val="clear" w:color="7F7F7F" w:fill="7F7F7F" w:themeFill="text1" w:themeFillTint="80"/>
      </w:tcPr>
    </w:tblStylePr>
    <w:tblStylePr w:type="firstCol">
      <w:rPr>
        <w:sz w:val="22"/>
      </w:rPr>
      <w:tblPr/>
      <w:tcPr>
        <w:shd w:val="clear" w:color="7F7F7F" w:fill="7F7F7F" w:themeFill="text1" w:themeFillTint="80"/>
      </w:tcPr>
    </w:tblStylePr>
    <w:tblStylePr w:type="lastCol">
      <w:rPr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2F2F2" w:fill="FFFFFF" w:themeFill="text1" w:themeFillTint="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2F2F2" w:fill="FFFFFF" w:themeFill="text1" w:themeFillTint="0"/>
      </w:tcPr>
    </w:tblStylePr>
  </w:style>
  <w:style w:type="table" w:customStyle="1" w:styleId="Lined-Accent1">
    <w:name w:val="Lined - Accent 1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4BACC6" w:fill="4BACC6" w:themeFill="accent5"/>
      </w:tcPr>
    </w:tblStylePr>
    <w:tblStylePr w:type="lastRow">
      <w:rPr>
        <w:sz w:val="22"/>
      </w:rPr>
      <w:tblPr/>
      <w:tcPr>
        <w:shd w:val="clear" w:color="4BACC6" w:fill="4BACC6" w:themeFill="accent5"/>
      </w:tcPr>
    </w:tblStylePr>
    <w:tblStylePr w:type="firstCol">
      <w:rPr>
        <w:sz w:val="22"/>
      </w:rPr>
      <w:tblPr/>
      <w:tcPr>
        <w:shd w:val="clear" w:color="4BACC6" w:fill="4BACC6" w:themeFill="accent5"/>
      </w:tcPr>
    </w:tblStylePr>
    <w:tblStylePr w:type="lastCol">
      <w:rPr>
        <w:sz w:val="22"/>
      </w:rPr>
      <w:tblPr/>
      <w:tcPr>
        <w:shd w:val="clear" w:color="4BACC6" w:fill="4BACC6" w:themeFill="accent5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F79646" w:fill="F79646" w:themeFill="accent6"/>
      </w:tcPr>
    </w:tblStylePr>
    <w:tblStylePr w:type="lastRow">
      <w:rPr>
        <w:sz w:val="22"/>
      </w:rPr>
      <w:tblPr/>
      <w:tcPr>
        <w:shd w:val="clear" w:color="F79646" w:fill="F79646" w:themeFill="accent6"/>
      </w:tcPr>
    </w:tblStylePr>
    <w:tblStylePr w:type="firstCol">
      <w:rPr>
        <w:sz w:val="22"/>
      </w:rPr>
      <w:tblPr/>
      <w:tcPr>
        <w:shd w:val="clear" w:color="F79646" w:fill="F79646" w:themeFill="accent6"/>
      </w:tcPr>
    </w:tblStylePr>
    <w:tblStylePr w:type="lastCol">
      <w:rPr>
        <w:sz w:val="22"/>
      </w:rPr>
      <w:tblPr/>
      <w:tcPr>
        <w:shd w:val="clear" w:color="F79646" w:fill="F79646" w:themeFill="accent6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7F7F7F" w:fill="7F7F7F" w:themeFill="text1" w:themeFillTint="80"/>
      </w:tcPr>
    </w:tblStylePr>
    <w:tblStylePr w:type="lastRow">
      <w:rPr>
        <w:sz w:val="22"/>
      </w:rPr>
      <w:tblPr/>
      <w:tcPr>
        <w:shd w:val="clear" w:color="7F7F7F" w:fill="7F7F7F" w:themeFill="text1" w:themeFillTint="80"/>
      </w:tcPr>
    </w:tblStylePr>
    <w:tblStylePr w:type="firstCol">
      <w:rPr>
        <w:sz w:val="22"/>
      </w:rPr>
      <w:tblPr/>
      <w:tcPr>
        <w:shd w:val="clear" w:color="7F7F7F" w:fill="7F7F7F" w:themeFill="text1" w:themeFillTint="80"/>
      </w:tcPr>
    </w:tblStylePr>
    <w:tblStylePr w:type="lastCol">
      <w:rPr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2F2F2" w:fill="FFFFFF" w:themeFill="text1" w:themeFillTint="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2F2F2" w:fill="FFFFFF" w:themeFill="text1" w:themeFillTint="0"/>
      </w:tcPr>
    </w:tblStylePr>
  </w:style>
  <w:style w:type="table" w:customStyle="1" w:styleId="BorderedLined-Accent1">
    <w:name w:val="Bordered &amp; Lined - Accent 1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4BACC6" w:fill="4BACC6" w:themeFill="accent5"/>
      </w:tcPr>
    </w:tblStylePr>
    <w:tblStylePr w:type="lastRow">
      <w:rPr>
        <w:sz w:val="22"/>
      </w:rPr>
      <w:tblPr/>
      <w:tcPr>
        <w:shd w:val="clear" w:color="4BACC6" w:fill="4BACC6" w:themeFill="accent5"/>
      </w:tcPr>
    </w:tblStylePr>
    <w:tblStylePr w:type="firstCol">
      <w:rPr>
        <w:sz w:val="22"/>
      </w:rPr>
      <w:tblPr/>
      <w:tcPr>
        <w:shd w:val="clear" w:color="4BACC6" w:fill="4BACC6" w:themeFill="accent5"/>
      </w:tcPr>
    </w:tblStylePr>
    <w:tblStylePr w:type="lastCol">
      <w:rPr>
        <w:sz w:val="22"/>
      </w:rPr>
      <w:tblPr/>
      <w:tcPr>
        <w:shd w:val="clear" w:color="4BACC6" w:fill="4BACC6" w:themeFill="accent5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F517DB"/>
    <w:rPr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shd w:val="clear" w:color="F79646" w:fill="F79646" w:themeFill="accent6"/>
      </w:tcPr>
    </w:tblStylePr>
    <w:tblStylePr w:type="lastRow">
      <w:rPr>
        <w:sz w:val="22"/>
      </w:rPr>
      <w:tblPr/>
      <w:tcPr>
        <w:shd w:val="clear" w:color="F79646" w:fill="F79646" w:themeFill="accent6"/>
      </w:tcPr>
    </w:tblStylePr>
    <w:tblStylePr w:type="firstCol">
      <w:rPr>
        <w:sz w:val="22"/>
      </w:rPr>
      <w:tblPr/>
      <w:tcPr>
        <w:shd w:val="clear" w:color="F79646" w:fill="F79646" w:themeFill="accent6"/>
      </w:tcPr>
    </w:tblStylePr>
    <w:tblStylePr w:type="lastCol">
      <w:rPr>
        <w:sz w:val="22"/>
      </w:rPr>
      <w:tblPr/>
      <w:tcPr>
        <w:shd w:val="clear" w:color="F79646" w:fill="F79646" w:themeFill="accent6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basedOn w:val="a1"/>
    <w:uiPriority w:val="99"/>
    <w:rsid w:val="00F517DB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paragraph" w:styleId="aff6">
    <w:name w:val="Normal (Web)"/>
    <w:basedOn w:val="a"/>
    <w:uiPriority w:val="99"/>
    <w:unhideWhenUsed/>
    <w:rsid w:val="00F517DB"/>
    <w:pPr>
      <w:spacing w:before="100" w:beforeAutospacing="1" w:after="100" w:afterAutospacing="1"/>
    </w:pPr>
    <w:rPr>
      <w:sz w:val="24"/>
      <w:szCs w:val="24"/>
    </w:rPr>
  </w:style>
  <w:style w:type="paragraph" w:customStyle="1" w:styleId="docdata">
    <w:name w:val="docdata"/>
    <w:aliases w:val="docy,v5,2334,bqiaagaaeyqcaaagiaiaaaofcaaabzmiaaaaaaaaaaaaaaaaaaaaaaaaaaaaaaaaaaaaaaaaaaaaaaaaaaaaaaaaaaaaaaaaaaaaaaaaaaaaaaaaaaaaaaaaaaaaaaaaaaaaaaaaaaaaaaaaaaaaaaaaaaaaaaaaaaaaaaaaaaaaaaaaaaaaaaaaaaaaaaaaaaaaaaaaaaaaaaaaaaaaaaaaaaaaaaaaaaaaaaaa"/>
    <w:basedOn w:val="a"/>
    <w:rsid w:val="000A63F0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94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LAW&amp;n=508376&amp;dst=100302" TargetMode="External"/><Relationship Id="rId13" Type="http://schemas.openxmlformats.org/officeDocument/2006/relationships/hyperlink" Target="https://login.consultant.ru/link/?req=doc&amp;base=LAW&amp;n=77193&amp;dst=101358&amp;field=134&amp;date=21.01.2026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s://login.consultant.ru/link/?req=doc&amp;base=LAW&amp;n=454617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login.consultant.ru/link/?req=doc&amp;base=LAW&amp;n=513435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s://login.consultant.ru/link/?req=doc&amp;base=LAW&amp;n=511335&amp;dst=522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s://login.consultant.ru/link/?req=doc&amp;base=LAW&amp;n=511335&amp;dst=517" TargetMode="External"/><Relationship Id="rId14" Type="http://schemas.openxmlformats.org/officeDocument/2006/relationships/hyperlink" Target="https://login.consultant.ru/link/?req=doc&amp;base=LAW&amp;n=77193&amp;dst=101358&amp;field=134&amp;date=21.01.202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40B91D4-0235-4035-BBB5-C51D6DA4B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1250</Words>
  <Characters>7128</Characters>
  <Application>Microsoft Office Word</Application>
  <DocSecurity>0</DocSecurity>
  <Lines>59</Lines>
  <Paragraphs>16</Paragraphs>
  <ScaleCrop>false</ScaleCrop>
  <Company>АГНОиПНО</Company>
  <LinksUpToDate>false</LinksUpToDate>
  <CharactersWithSpaces>8362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Семененко Татьяна Геннадьевна</dc:creator>
  <dc:description/>
  <cp:lastModifiedBy>Якубова</cp:lastModifiedBy>
  <cp:revision>18</cp:revision>
  <dcterms:created xsi:type="dcterms:W3CDTF">2026-01-21T09:48:00Z</dcterms:created>
  <dcterms:modified xsi:type="dcterms:W3CDTF">2026-02-09T02:11:00Z</dcterms:modified>
  <dc:language>ru-RU</dc:language>
</cp:coreProperties>
</file>